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tabs>
          <w:tab w:val="left" w:leader="none" w:pos="142"/>
        </w:tabs>
        <w:spacing w:before="0" w:lineRule="auto"/>
        <w:ind w:left="-567" w:firstLine="0"/>
        <w:rPr>
          <w:rFonts w:ascii="Play" w:cs="Play" w:eastAsia="Play" w:hAnsi="Play"/>
          <w:b w:val="0"/>
          <w:bCs w:val="0"/>
          <w:smallCaps w:val="1"/>
          <w:color w:val="1767ce"/>
          <w:sz w:val="48"/>
          <w:szCs w:val="48"/>
        </w:rPr>
      </w:pPr>
      <w:bookmarkStart w:colFirst="0" w:colLast="0" w:name="_heading=h.z0rgrz1ajz1e" w:id="0"/>
      <w:bookmarkEnd w:id="0"/>
      <w:r w:rsidDel="00000000" w:rsidR="00000000" w:rsidRPr="00000000">
        <w:rPr>
          <w:rtl w:val="0"/>
        </w:rPr>
      </w:r>
    </w:p>
    <w:p w:rsidR="00000000" w:rsidDel="00000000" w:rsidP="00000000" w:rsidRDefault="00000000" w:rsidRPr="00000000" w14:paraId="00000002">
      <w:pPr>
        <w:pStyle w:val="Title"/>
        <w:keepNext w:val="0"/>
        <w:keepLines w:val="0"/>
        <w:tabs>
          <w:tab w:val="left" w:leader="none" w:pos="142"/>
        </w:tabs>
        <w:spacing w:before="0" w:lineRule="auto"/>
        <w:ind w:left="-567" w:firstLine="0"/>
        <w:rPr>
          <w:rFonts w:ascii="Play" w:cs="Play" w:eastAsia="Play" w:hAnsi="Play"/>
          <w:b w:val="0"/>
          <w:bCs w:val="0"/>
          <w:smallCaps w:val="1"/>
          <w:color w:val="1767ce"/>
          <w:sz w:val="48"/>
          <w:szCs w:val="48"/>
        </w:rPr>
      </w:pPr>
      <w:bookmarkStart w:colFirst="0" w:colLast="0" w:name="_heading=h.ou912j9w9824" w:id="1"/>
      <w:bookmarkEnd w:id="1"/>
      <w:r w:rsidDel="00000000" w:rsidR="00000000" w:rsidRPr="00000000">
        <w:rPr>
          <w:rtl w:val="0"/>
        </w:rPr>
      </w:r>
    </w:p>
    <w:p w:rsidR="00000000" w:rsidDel="00000000" w:rsidP="00000000" w:rsidRDefault="00000000" w:rsidRPr="00000000" w14:paraId="00000003">
      <w:pPr>
        <w:pStyle w:val="Title"/>
        <w:keepNext w:val="0"/>
        <w:keepLines w:val="0"/>
        <w:tabs>
          <w:tab w:val="left" w:leader="none" w:pos="142"/>
        </w:tabs>
        <w:spacing w:before="0" w:lineRule="auto"/>
        <w:ind w:left="-567" w:firstLine="0"/>
        <w:rPr>
          <w:rFonts w:ascii="Play" w:cs="Play" w:eastAsia="Play" w:hAnsi="Play"/>
          <w:b w:val="0"/>
          <w:bCs w:val="0"/>
          <w:smallCaps w:val="1"/>
          <w:color w:val="1767ce"/>
          <w:sz w:val="48"/>
          <w:szCs w:val="48"/>
        </w:rPr>
      </w:pPr>
      <w:bookmarkStart w:colFirst="0" w:colLast="0" w:name="_heading=h.6wcn2zx4vcgt" w:id="2"/>
      <w:bookmarkEnd w:id="2"/>
      <w:r w:rsidDel="00000000" w:rsidR="00000000" w:rsidRPr="00000000">
        <w:rPr>
          <w:rFonts w:ascii="Play" w:cs="Play" w:eastAsia="Play" w:hAnsi="Play"/>
          <w:b w:val="0"/>
          <w:bCs w:val="0"/>
          <w:smallCaps w:val="1"/>
          <w:color w:val="1767ce"/>
          <w:sz w:val="48"/>
          <w:szCs w:val="48"/>
          <w:rtl w:val="0"/>
        </w:rPr>
        <w:t xml:space="preserve">     NRK 2026 - </w:t>
      </w:r>
      <w:r w:rsidDel="00000000" w:rsidR="00000000" w:rsidRPr="00000000">
        <w:rPr>
          <w:rFonts w:ascii="Play" w:cs="Play" w:eastAsia="Play" w:hAnsi="Play"/>
          <w:b w:val="0"/>
          <w:bCs w:val="0"/>
          <w:smallCaps w:val="1"/>
          <w:color w:val="1767ce"/>
          <w:sz w:val="48"/>
          <w:szCs w:val="48"/>
          <w:rtl w:val="0"/>
        </w:rPr>
        <w:t xml:space="preserve">539</w:t>
      </w:r>
    </w:p>
    <w:p w:rsidR="00000000" w:rsidDel="00000000" w:rsidP="00000000" w:rsidRDefault="00000000" w:rsidRPr="00000000" w14:paraId="00000004">
      <w:pPr>
        <w:pStyle w:val="Title"/>
        <w:keepNext w:val="0"/>
        <w:keepLines w:val="0"/>
        <w:tabs>
          <w:tab w:val="left" w:leader="none" w:pos="142"/>
        </w:tabs>
        <w:spacing w:before="0" w:lineRule="auto"/>
        <w:ind w:left="-567" w:firstLine="0"/>
        <w:rPr>
          <w:rFonts w:ascii="Play" w:cs="Play" w:eastAsia="Play" w:hAnsi="Play"/>
          <w:b w:val="0"/>
          <w:bCs w:val="0"/>
          <w:smallCaps w:val="1"/>
          <w:color w:val="1767ce"/>
          <w:sz w:val="48"/>
          <w:szCs w:val="48"/>
        </w:rPr>
      </w:pPr>
      <w:bookmarkStart w:colFirst="0" w:colLast="0" w:name="_heading=h.6w7nij1sy5al" w:id="3"/>
      <w:bookmarkEnd w:id="3"/>
      <w:r w:rsidDel="00000000" w:rsidR="00000000" w:rsidRPr="00000000">
        <w:rPr>
          <w:rFonts w:ascii="Play" w:cs="Play" w:eastAsia="Play" w:hAnsi="Play"/>
          <w:b w:val="0"/>
          <w:bCs w:val="0"/>
          <w:smallCaps w:val="1"/>
          <w:color w:val="1767ce"/>
          <w:sz w:val="48"/>
          <w:szCs w:val="48"/>
          <w:rtl w:val="0"/>
        </w:rPr>
        <w:t xml:space="preserve">     Attachment 4   Data Processing Agreement </w:t>
      </w:r>
    </w:p>
    <w:p w:rsidR="00000000" w:rsidDel="00000000" w:rsidP="00000000" w:rsidRDefault="00000000" w:rsidRPr="00000000" w14:paraId="00000005">
      <w:pPr>
        <w:spacing w:after="160" w:line="259" w:lineRule="auto"/>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6">
      <w:pPr>
        <w:spacing w:after="160" w:line="259" w:lineRule="auto"/>
        <w:rPr>
          <w:rFonts w:ascii="Times New Roman" w:cs="Times New Roman" w:eastAsia="Times New Roman" w:hAnsi="Times New Roman"/>
          <w:b w:val="1"/>
          <w:bCs w:val="1"/>
        </w:rPr>
      </w:pPr>
      <w:r w:rsidDel="00000000" w:rsidR="00000000" w:rsidRPr="00000000">
        <w:rPr>
          <w:b w:val="1"/>
          <w:bCs w:val="1"/>
          <w:color w:val="303030"/>
          <w:sz w:val="21"/>
          <w:szCs w:val="21"/>
          <w:highlight w:val="white"/>
          <w:rtl w:val="0"/>
        </w:rPr>
        <w:t xml:space="preserve">Please note:</w:t>
      </w:r>
      <w:r w:rsidDel="00000000" w:rsidR="00000000" w:rsidRPr="00000000">
        <w:rPr>
          <w:color w:val="303030"/>
          <w:sz w:val="21"/>
          <w:szCs w:val="21"/>
          <w:highlight w:val="white"/>
          <w:rtl w:val="0"/>
        </w:rPr>
        <w:t xml:space="preserve"> During the establishment of the Framework Agreement (Stage 1 and Stage 2), this document is provided solely for information purposes as a template. The Tenderer is NOT required to complete this document with their tender response. It will be tailored and completed during the specific subsequent call-offs (mini-competitions).</w:t>
      </w:r>
      <w:r w:rsidDel="00000000" w:rsidR="00000000" w:rsidRPr="00000000">
        <w:rPr>
          <w:rtl w:val="0"/>
        </w:rPr>
      </w:r>
    </w:p>
    <w:p w:rsidR="00000000" w:rsidDel="00000000" w:rsidP="00000000" w:rsidRDefault="00000000" w:rsidRPr="00000000" w14:paraId="00000007">
      <w:pPr>
        <w:spacing w:after="160" w:line="259" w:lineRule="auto"/>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8">
      <w:pPr>
        <w:spacing w:after="160" w:line="259"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EU STANDARD CONTRACTUAL CLAUSES</w:t>
      </w:r>
    </w:p>
    <w:p w:rsidR="00000000" w:rsidDel="00000000" w:rsidP="00000000" w:rsidRDefault="00000000" w:rsidRPr="00000000" w14:paraId="00000009">
      <w:pPr>
        <w:spacing w:after="160" w:line="259"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(Data Processing Agreement)</w:t>
      </w:r>
    </w:p>
    <w:p w:rsidR="00000000" w:rsidDel="00000000" w:rsidP="00000000" w:rsidRDefault="00000000" w:rsidRPr="00000000" w14:paraId="0000000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between controllers and processors under Article 28 (7) of Regulation (EU) 2016/679 and Article 29 (7) of Regulation (EU) 2018/1725 under Commission Implementing Decision of 4.6.2021 (C(2021) 3701 final). </w:t>
      </w:r>
    </w:p>
    <w:p w:rsidR="00000000" w:rsidDel="00000000" w:rsidP="00000000" w:rsidRDefault="00000000" w:rsidRPr="00000000" w14:paraId="0000000B">
      <w:pPr>
        <w:pStyle w:val="Heading1"/>
        <w:spacing w:after="360" w:line="259" w:lineRule="auto"/>
        <w:ind w:left="431" w:firstLine="0"/>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SECTION I</w:t>
      </w:r>
    </w:p>
    <w:p w:rsidR="00000000" w:rsidDel="00000000" w:rsidP="00000000" w:rsidRDefault="00000000" w:rsidRPr="00000000" w14:paraId="0000000C">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1</w:t>
      </w:r>
    </w:p>
    <w:p w:rsidR="00000000" w:rsidDel="00000000" w:rsidP="00000000" w:rsidRDefault="00000000" w:rsidRPr="00000000" w14:paraId="0000000D">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Purpose and scope</w:t>
      </w:r>
    </w:p>
    <w:p w:rsidR="00000000" w:rsidDel="00000000" w:rsidP="00000000" w:rsidRDefault="00000000" w:rsidRPr="00000000" w14:paraId="0000000E">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purpose of these Standard Contractual Clauses (the Clauses) is to ensure compliance with Article 28(3) and (4) of Regulation (EU) 2016/679 of the European Parliament and of the Council of 27 April 2016 on the protection of natural persons with regard to the processing of personal data and on the free movement of such data.</w:t>
      </w:r>
    </w:p>
    <w:p w:rsidR="00000000" w:rsidDel="00000000" w:rsidP="00000000" w:rsidRDefault="00000000" w:rsidRPr="00000000" w14:paraId="0000000F">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controllers and processors listed in Annex I have agreed to these Clauses in order to ensure compliance with Article 28(3) and (4) of Regulation (EU) 2016/679 and/or Article 29 (3) and (4) Regulation (EU) 2018/1725. </w:t>
      </w:r>
    </w:p>
    <w:p w:rsidR="00000000" w:rsidDel="00000000" w:rsidP="00000000" w:rsidRDefault="00000000" w:rsidRPr="00000000" w14:paraId="00000010">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Clauses apply to the processing of personal data as specified in Annex II.</w:t>
      </w:r>
    </w:p>
    <w:p w:rsidR="00000000" w:rsidDel="00000000" w:rsidP="00000000" w:rsidRDefault="00000000" w:rsidRPr="00000000" w14:paraId="00000011">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Annexes I to IV are an integral part of the Clauses.</w:t>
      </w:r>
    </w:p>
    <w:p w:rsidR="00000000" w:rsidDel="00000000" w:rsidP="00000000" w:rsidRDefault="00000000" w:rsidRPr="00000000" w14:paraId="00000012">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Clauses are without prejudice to obligations to which the controller is subject by virtue of Regulation (EU) 2016/679 and/or Regulation (EU) 2018/1725. </w:t>
      </w:r>
    </w:p>
    <w:p w:rsidR="00000000" w:rsidDel="00000000" w:rsidP="00000000" w:rsidRDefault="00000000" w:rsidRPr="00000000" w14:paraId="00000013">
      <w:pPr>
        <w:numPr>
          <w:ilvl w:val="0"/>
          <w:numId w:val="16"/>
        </w:numPr>
        <w:spacing w:after="160" w:line="259" w:lineRule="auto"/>
        <w:ind w:left="708" w:hanging="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Clauses do not by themselves ensure compliance with obligations related to international transfers in accordance with Chapter V of Regulation (EU) 2016/679 and/or Regulation (EU) 2018/1725.</w:t>
      </w:r>
    </w:p>
    <w:p w:rsidR="00000000" w:rsidDel="00000000" w:rsidP="00000000" w:rsidRDefault="00000000" w:rsidRPr="00000000" w14:paraId="00000014">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2 </w:t>
      </w:r>
    </w:p>
    <w:p w:rsidR="00000000" w:rsidDel="00000000" w:rsidP="00000000" w:rsidRDefault="00000000" w:rsidRPr="00000000" w14:paraId="00000015">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Invariability of the Clauses </w:t>
      </w:r>
    </w:p>
    <w:p w:rsidR="00000000" w:rsidDel="00000000" w:rsidP="00000000" w:rsidRDefault="00000000" w:rsidRPr="00000000" w14:paraId="00000016">
      <w:pPr>
        <w:numPr>
          <w:ilvl w:val="0"/>
          <w:numId w:val="17"/>
        </w:numPr>
        <w:spacing w:after="160" w:line="259" w:lineRule="auto"/>
        <w:ind w:left="708" w:hanging="86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Parties undertake not to modify the Clauses, except for adding information to the Annexes or updating information in them. </w:t>
      </w:r>
    </w:p>
    <w:p w:rsidR="00000000" w:rsidDel="00000000" w:rsidP="00000000" w:rsidRDefault="00000000" w:rsidRPr="00000000" w14:paraId="00000017">
      <w:pPr>
        <w:numPr>
          <w:ilvl w:val="0"/>
          <w:numId w:val="17"/>
        </w:numPr>
        <w:spacing w:after="160" w:line="259" w:lineRule="auto"/>
        <w:ind w:left="708" w:hanging="86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does not prevent the Parties from including the standard contractual clauses laid down in these Clauses in a broader contract, or from adding other clauses or additional safeguards provided that they do not directly or indirectly contradict the Clauses or detract from the fundamental rights or freedoms of data subjects.</w:t>
      </w:r>
    </w:p>
    <w:p w:rsidR="00000000" w:rsidDel="00000000" w:rsidP="00000000" w:rsidRDefault="00000000" w:rsidRPr="00000000" w14:paraId="00000018">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3</w:t>
      </w:r>
    </w:p>
    <w:p w:rsidR="00000000" w:rsidDel="00000000" w:rsidP="00000000" w:rsidRDefault="00000000" w:rsidRPr="00000000" w14:paraId="00000019">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Interpretation</w:t>
      </w:r>
    </w:p>
    <w:p w:rsidR="00000000" w:rsidDel="00000000" w:rsidP="00000000" w:rsidRDefault="00000000" w:rsidRPr="00000000" w14:paraId="0000001A">
      <w:pPr>
        <w:numPr>
          <w:ilvl w:val="0"/>
          <w:numId w:val="2"/>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these Clauses use the terms defined in Regulation (EU) 2016/679 or Regulation (EU) 2018/1725 respectively, those terms shall have the same meaning as in that Regulation.</w:t>
      </w:r>
    </w:p>
    <w:p w:rsidR="00000000" w:rsidDel="00000000" w:rsidP="00000000" w:rsidRDefault="00000000" w:rsidRPr="00000000" w14:paraId="0000001B">
      <w:pPr>
        <w:numPr>
          <w:ilvl w:val="0"/>
          <w:numId w:val="2"/>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Clauses shall be read and interpreted in the light of the provisions of Regulation (EU) 2016/679 or Regulation (EU) 2018/1725 respectively.</w:t>
      </w:r>
    </w:p>
    <w:p w:rsidR="00000000" w:rsidDel="00000000" w:rsidP="00000000" w:rsidRDefault="00000000" w:rsidRPr="00000000" w14:paraId="0000001C">
      <w:pPr>
        <w:numPr>
          <w:ilvl w:val="0"/>
          <w:numId w:val="2"/>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Clauses shall not be interpreted in a way that runs counter to the rights and obligations provided for in Regulation (EU) 2016/679 / Regulation (EU) 2018/1725 or in a way that prejudices the fundamental rights or freedoms of the data subjects.</w:t>
      </w:r>
    </w:p>
    <w:p w:rsidR="00000000" w:rsidDel="00000000" w:rsidP="00000000" w:rsidRDefault="00000000" w:rsidRPr="00000000" w14:paraId="0000001D">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4</w:t>
      </w:r>
    </w:p>
    <w:p w:rsidR="00000000" w:rsidDel="00000000" w:rsidP="00000000" w:rsidRDefault="00000000" w:rsidRPr="00000000" w14:paraId="0000001E">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Hierarchy</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event of a contradiction between these Clauses and the provisions of related agreements between the Parties existing at the time when these Clauses are agreed or entered into thereafter, these Clauses shall prevail. </w:t>
      </w:r>
    </w:p>
    <w:p w:rsidR="00000000" w:rsidDel="00000000" w:rsidP="00000000" w:rsidRDefault="00000000" w:rsidRPr="00000000" w14:paraId="00000020">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5 - Optional</w:t>
      </w:r>
    </w:p>
    <w:p w:rsidR="00000000" w:rsidDel="00000000" w:rsidP="00000000" w:rsidRDefault="00000000" w:rsidRPr="00000000" w14:paraId="00000021">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Docking clause</w:t>
      </w:r>
    </w:p>
    <w:p w:rsidR="00000000" w:rsidDel="00000000" w:rsidP="00000000" w:rsidRDefault="00000000" w:rsidRPr="00000000" w14:paraId="00000022">
      <w:pPr>
        <w:numPr>
          <w:ilvl w:val="0"/>
          <w:numId w:val="3"/>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Any entity that is not a Party to these Clauses may, with the agreement of all the Parties, accede to these Clauses at any time as a controller or a processor by completing the Annexes and signing Annex I.</w:t>
      </w:r>
    </w:p>
    <w:p w:rsidR="00000000" w:rsidDel="00000000" w:rsidP="00000000" w:rsidRDefault="00000000" w:rsidRPr="00000000" w14:paraId="00000023">
      <w:pPr>
        <w:numPr>
          <w:ilvl w:val="0"/>
          <w:numId w:val="3"/>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Once the Annexes in (a) are completed and signed, the acceding entity shall be treated as a Party to these Clauses and have the rights and obligations of a controller or a processor, in accordance with its designation in Annex I.</w:t>
      </w:r>
    </w:p>
    <w:p w:rsidR="00000000" w:rsidDel="00000000" w:rsidP="00000000" w:rsidRDefault="00000000" w:rsidRPr="00000000" w14:paraId="00000024">
      <w:pPr>
        <w:numPr>
          <w:ilvl w:val="0"/>
          <w:numId w:val="3"/>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acceding entity shall have no rights or obligations resulting from these Clauses from the period prior to becoming a Party.</w:t>
      </w:r>
    </w:p>
    <w:p w:rsidR="00000000" w:rsidDel="00000000" w:rsidP="00000000" w:rsidRDefault="00000000" w:rsidRPr="00000000" w14:paraId="00000025">
      <w:pPr>
        <w:pStyle w:val="Heading1"/>
        <w:pageBreakBefore w:val="1"/>
        <w:spacing w:after="360" w:line="259" w:lineRule="auto"/>
        <w:ind w:left="431" w:firstLine="0"/>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SECTION II – OBLIGATIONS OF THE PARTIES</w:t>
      </w:r>
    </w:p>
    <w:p w:rsidR="00000000" w:rsidDel="00000000" w:rsidP="00000000" w:rsidRDefault="00000000" w:rsidRPr="00000000" w14:paraId="00000026">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6 </w:t>
      </w:r>
    </w:p>
    <w:p w:rsidR="00000000" w:rsidDel="00000000" w:rsidP="00000000" w:rsidRDefault="00000000" w:rsidRPr="00000000" w14:paraId="00000027">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Description of processing(s)</w:t>
      </w:r>
    </w:p>
    <w:p w:rsidR="00000000" w:rsidDel="00000000" w:rsidP="00000000" w:rsidRDefault="00000000" w:rsidRPr="00000000" w14:paraId="0000002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details of the processing operations, in particular the categories of personal data and the purposes of processing for which the personal data is processed on behalf of the controller, are specified in Annex II.</w:t>
      </w:r>
    </w:p>
    <w:p w:rsidR="00000000" w:rsidDel="00000000" w:rsidP="00000000" w:rsidRDefault="00000000" w:rsidRPr="00000000" w14:paraId="00000029">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Clause7 </w:t>
      </w:r>
    </w:p>
    <w:p w:rsidR="00000000" w:rsidDel="00000000" w:rsidP="00000000" w:rsidRDefault="00000000" w:rsidRPr="00000000" w14:paraId="0000002A">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Obligations of the Parties </w:t>
      </w:r>
    </w:p>
    <w:p w:rsidR="00000000" w:rsidDel="00000000" w:rsidP="00000000" w:rsidRDefault="00000000" w:rsidRPr="00000000" w14:paraId="0000002B">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7.1. Instructions</w:t>
      </w:r>
    </w:p>
    <w:p w:rsidR="00000000" w:rsidDel="00000000" w:rsidP="00000000" w:rsidRDefault="00000000" w:rsidRPr="00000000" w14:paraId="0000002C">
      <w:pPr>
        <w:numPr>
          <w:ilvl w:val="0"/>
          <w:numId w:val="4"/>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process personal data only on documented instructions from the controller, unless required to do so by Union or Member State law to which the processor is subject. In this case, the processor shall inform the controller of that legal requirement before processing, unless the law prohibits this on important grounds of public interest. Subsequent instructions may also be given by the controller throughout the duration of the processing of personal data. These instructions shall always be documented. </w:t>
      </w:r>
    </w:p>
    <w:p w:rsidR="00000000" w:rsidDel="00000000" w:rsidP="00000000" w:rsidRDefault="00000000" w:rsidRPr="00000000" w14:paraId="0000002D">
      <w:pPr>
        <w:numPr>
          <w:ilvl w:val="0"/>
          <w:numId w:val="4"/>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immediately inform the controller if, in the processor’s opinion, instructions given by the controller infringe Regulation (EU) 2016/679 / Regulation (EU) 2018/1725 or the applicable Union or Member State data protection provisions.</w:t>
      </w:r>
    </w:p>
    <w:p w:rsidR="00000000" w:rsidDel="00000000" w:rsidP="00000000" w:rsidRDefault="00000000" w:rsidRPr="00000000" w14:paraId="0000002E">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7.2. Purpose limitation</w:t>
      </w:r>
    </w:p>
    <w:p w:rsidR="00000000" w:rsidDel="00000000" w:rsidP="00000000" w:rsidRDefault="00000000" w:rsidRPr="00000000" w14:paraId="0000002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process the personal data only for the specific purpose(s) of the processing, as set out in Annex II, unless it receives further instructions from the controller.</w:t>
      </w:r>
    </w:p>
    <w:p w:rsidR="00000000" w:rsidDel="00000000" w:rsidP="00000000" w:rsidRDefault="00000000" w:rsidRPr="00000000" w14:paraId="00000030">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7.3. Duration of the processing of personal data</w:t>
      </w:r>
    </w:p>
    <w:p w:rsidR="00000000" w:rsidDel="00000000" w:rsidP="00000000" w:rsidRDefault="00000000" w:rsidRPr="00000000" w14:paraId="0000003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Processing by the processor shall only take place for the duration specified in Annex II. </w:t>
      </w:r>
    </w:p>
    <w:p w:rsidR="00000000" w:rsidDel="00000000" w:rsidP="00000000" w:rsidRDefault="00000000" w:rsidRPr="00000000" w14:paraId="00000032">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7.4. Security of processing</w:t>
      </w:r>
    </w:p>
    <w:p w:rsidR="00000000" w:rsidDel="00000000" w:rsidP="00000000" w:rsidRDefault="00000000" w:rsidRPr="00000000" w14:paraId="00000033">
      <w:pPr>
        <w:numPr>
          <w:ilvl w:val="0"/>
          <w:numId w:val="14"/>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at least implement the technical and organisational measures specified in Annex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 </w:t>
      </w:r>
    </w:p>
    <w:p w:rsidR="00000000" w:rsidDel="00000000" w:rsidP="00000000" w:rsidRDefault="00000000" w:rsidRPr="00000000" w14:paraId="00000034">
      <w:pPr>
        <w:numPr>
          <w:ilvl w:val="0"/>
          <w:numId w:val="14"/>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grant access to the personal data undergoing processing to members of its personnel only to the extent strictly necessary for implementing, managing and monitoring of the contract. The processor shall ensure that persons authorised to process the personal data received have committed themselves to confidentiality or are under an appropriate statutory obligation of confidentiality. </w:t>
      </w:r>
    </w:p>
    <w:p w:rsidR="00000000" w:rsidDel="00000000" w:rsidP="00000000" w:rsidRDefault="00000000" w:rsidRPr="00000000" w14:paraId="00000035">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7.5. Sensitive data</w:t>
      </w:r>
    </w:p>
    <w:p w:rsidR="00000000" w:rsidDel="00000000" w:rsidP="00000000" w:rsidRDefault="00000000" w:rsidRPr="00000000" w14:paraId="0000003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processor shall apply specific restrictions and/or additional safeguards.</w:t>
      </w:r>
    </w:p>
    <w:p w:rsidR="00000000" w:rsidDel="00000000" w:rsidP="00000000" w:rsidRDefault="00000000" w:rsidRPr="00000000" w14:paraId="00000037">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7.6 Documentation and compliance</w:t>
      </w:r>
    </w:p>
    <w:p w:rsidR="00000000" w:rsidDel="00000000" w:rsidP="00000000" w:rsidRDefault="00000000" w:rsidRPr="00000000" w14:paraId="00000038">
      <w:pPr>
        <w:numPr>
          <w:ilvl w:val="0"/>
          <w:numId w:val="1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Parties shall be able to demonstrate compliance with these Clauses.</w:t>
      </w:r>
    </w:p>
    <w:p w:rsidR="00000000" w:rsidDel="00000000" w:rsidP="00000000" w:rsidRDefault="00000000" w:rsidRPr="00000000" w14:paraId="00000039">
      <w:pPr>
        <w:numPr>
          <w:ilvl w:val="0"/>
          <w:numId w:val="1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deal promptly and adequately with inquiries from the controller about the processing of data in accordance with these Clauses. </w:t>
      </w:r>
    </w:p>
    <w:p w:rsidR="00000000" w:rsidDel="00000000" w:rsidP="00000000" w:rsidRDefault="00000000" w:rsidRPr="00000000" w14:paraId="0000003A">
      <w:pPr>
        <w:numPr>
          <w:ilvl w:val="0"/>
          <w:numId w:val="1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make available to the controller all information necessary to demonstrate compliance with the obligations that are set out in these Clauses and stem directly from Regulation (EU) 2016/679 and/or Regulation (EU) 2018/1725. At the controller’s request, the processor shall also permit and contribute to audits of the processing activities covered by these Clauses, at reasonable intervals or if there are indications of non-compliance. In deciding on a review or an audit, the controller may take into account relevant certifications held by the processor. </w:t>
      </w:r>
    </w:p>
    <w:p w:rsidR="00000000" w:rsidDel="00000000" w:rsidP="00000000" w:rsidRDefault="00000000" w:rsidRPr="00000000" w14:paraId="0000003B">
      <w:pPr>
        <w:numPr>
          <w:ilvl w:val="0"/>
          <w:numId w:val="1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controller may choose to conduct the audit by itself or mandate an independent auditor. Audits may also include inspections at the premises or physical facilities of the processor and shall, where appropriate, be carried out with reasonable notice. </w:t>
      </w:r>
    </w:p>
    <w:p w:rsidR="00000000" w:rsidDel="00000000" w:rsidP="00000000" w:rsidRDefault="00000000" w:rsidRPr="00000000" w14:paraId="0000003C">
      <w:pPr>
        <w:numPr>
          <w:ilvl w:val="0"/>
          <w:numId w:val="1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Parties shall make the information referred to in this Clause, including the results of any audits, available to the competent supervisory authority/ies on request.</w:t>
      </w:r>
    </w:p>
    <w:p w:rsidR="00000000" w:rsidDel="00000000" w:rsidP="00000000" w:rsidRDefault="00000000" w:rsidRPr="00000000" w14:paraId="0000003D">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7.7. Use of sub-processors</w:t>
      </w:r>
    </w:p>
    <w:p w:rsidR="00000000" w:rsidDel="00000000" w:rsidP="00000000" w:rsidRDefault="00000000" w:rsidRPr="00000000" w14:paraId="0000003E">
      <w:pPr>
        <w:numPr>
          <w:ilvl w:val="0"/>
          <w:numId w:val="1"/>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OPTION 1: PRIOR SPECIFIC AUTHORISATION: The processor shall not subcontract any of its processing operations performed on behalf of the controller in accordance with these Clauses to a sub-processor, without the controller’s prior specific written authorisation. The processor shall submit the request for specific authorisation at least [SPECIFY TIME PERIOD] prior to the engagement of the sub-processor in question, together with the information necessary to enable the controller to decide on the authorisation. The list of sub-processors authorised by the controller can be found in Annex IV. The Parties shall keep Annex IV up to date.</w:t>
      </w:r>
    </w:p>
    <w:p w:rsidR="00000000" w:rsidDel="00000000" w:rsidP="00000000" w:rsidRDefault="00000000" w:rsidRPr="00000000" w14:paraId="0000003F">
      <w:pPr>
        <w:spacing w:after="160" w:line="259" w:lineRule="auto"/>
        <w:ind w:left="7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OPTION 2: GENERAL WRITTEN AUTHORISATION: The processor has the controller’s general authorisation for the engagement of sub-processors from an agreed list. The processor shall specifically inform in writing the controller of any intended changes of that list through the addition or replacement of sub-processors at least [SPECIFY TIME PERIOD] in advance, thereby giving the controller sufficient time to be able to object to such changes prior to the engagement of the concerned sub-processor(s). The processor shall provide the controller with the information necessary to enable the controller to exercise the right to object.</w:t>
      </w:r>
    </w:p>
    <w:p w:rsidR="00000000" w:rsidDel="00000000" w:rsidP="00000000" w:rsidRDefault="00000000" w:rsidRPr="00000000" w14:paraId="00000040">
      <w:pPr>
        <w:numPr>
          <w:ilvl w:val="0"/>
          <w:numId w:val="1"/>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the processor engages a sub-processor for carrying out specific processing activities (on behalf of the controller), it shall do so by way of a contract which imposes on the sub-processor, in substance, the same data protection obligations as the ones imposed on the data processor in accordance with these Clauses. The processor shall ensure that the sub-processor complies with the obligations to which the processor is subject pursuant to these Clauses and to Regulation (EU) 2016/679 and/or Regulation (EU) 2018/1725.</w:t>
      </w:r>
    </w:p>
    <w:p w:rsidR="00000000" w:rsidDel="00000000" w:rsidP="00000000" w:rsidRDefault="00000000" w:rsidRPr="00000000" w14:paraId="00000041">
      <w:pPr>
        <w:numPr>
          <w:ilvl w:val="0"/>
          <w:numId w:val="1"/>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the controller’s request, the processor shall provide a copy of such a subprocessor agreement and any subsequent amendments to the controller. To the extent necessary to protect business secret or other confidential information, including personal data, the processor may redact the text of the agreement prior to sharing the copy.</w:t>
      </w:r>
    </w:p>
    <w:p w:rsidR="00000000" w:rsidDel="00000000" w:rsidP="00000000" w:rsidRDefault="00000000" w:rsidRPr="00000000" w14:paraId="00000042">
      <w:pPr>
        <w:numPr>
          <w:ilvl w:val="0"/>
          <w:numId w:val="1"/>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remain fully responsible to the controller for the performance of the sub-processor’s obligations in accordance with its contract with the processor. The processor shall notify the controller of any failure by the sub-processor to fulfil its contractual obligations.</w:t>
      </w:r>
    </w:p>
    <w:p w:rsidR="00000000" w:rsidDel="00000000" w:rsidP="00000000" w:rsidRDefault="00000000" w:rsidRPr="00000000" w14:paraId="00000043">
      <w:pPr>
        <w:numPr>
          <w:ilvl w:val="0"/>
          <w:numId w:val="1"/>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agree a third party beneficiary clause with the sub-processor whereby - in the event the processor has factually disappeared, ceased to exist in law or has become insolvent - the controller shall have the right to terminate the sub-processor contract and to instruct the sub-processor to erase or return the personal data.</w:t>
      </w:r>
    </w:p>
    <w:p w:rsidR="00000000" w:rsidDel="00000000" w:rsidP="00000000" w:rsidRDefault="00000000" w:rsidRPr="00000000" w14:paraId="00000044">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7.8. International transfers</w:t>
      </w:r>
    </w:p>
    <w:p w:rsidR="00000000" w:rsidDel="00000000" w:rsidP="00000000" w:rsidRDefault="00000000" w:rsidRPr="00000000" w14:paraId="00000045">
      <w:pPr>
        <w:numPr>
          <w:ilvl w:val="0"/>
          <w:numId w:val="6"/>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Any transfer of data to a third country or an international organisation by the processor shall be done only on the basis of documented instructions from the controller or in order to fulfil a specific requirement under Union or Member State law to which the processor is subject and shall take place in compliance with Chapter V of Regulation (EU) 2016/679 or Regulation (EU) 2018/1725. </w:t>
      </w:r>
    </w:p>
    <w:p w:rsidR="00000000" w:rsidDel="00000000" w:rsidP="00000000" w:rsidRDefault="00000000" w:rsidRPr="00000000" w14:paraId="00000046">
      <w:pPr>
        <w:numPr>
          <w:ilvl w:val="0"/>
          <w:numId w:val="6"/>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controller agrees that where the processor engages a sub-processor in accordance with Clause 7.7. for carrying out specific processing activities (on behalf of the controller) and those processing activities involve a transfer of personal data within the meaning of Chapter V of Regulation (EU) 2016/679, the processor and the subprocessor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rsidR="00000000" w:rsidDel="00000000" w:rsidP="00000000" w:rsidRDefault="00000000" w:rsidRPr="00000000" w14:paraId="00000047">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8</w:t>
      </w:r>
    </w:p>
    <w:p w:rsidR="00000000" w:rsidDel="00000000" w:rsidP="00000000" w:rsidRDefault="00000000" w:rsidRPr="00000000" w14:paraId="00000048">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Assistance to the controller </w:t>
      </w:r>
    </w:p>
    <w:p w:rsidR="00000000" w:rsidDel="00000000" w:rsidP="00000000" w:rsidRDefault="00000000" w:rsidRPr="00000000" w14:paraId="00000049">
      <w:pPr>
        <w:numPr>
          <w:ilvl w:val="0"/>
          <w:numId w:val="10"/>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promptly notify the controller of any request it has received from the data subject. It shall not respond to the request itself, unless authorised to do so by the controller.</w:t>
      </w:r>
    </w:p>
    <w:p w:rsidR="00000000" w:rsidDel="00000000" w:rsidP="00000000" w:rsidRDefault="00000000" w:rsidRPr="00000000" w14:paraId="0000004A">
      <w:pPr>
        <w:numPr>
          <w:ilvl w:val="0"/>
          <w:numId w:val="10"/>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assist the controller in fulfilling its obligations to respond to data subjects’ requests to exercise their rights, taking into account the nature of the processing. In fulfilling its obligations in accordance with (a) and (b), the processor shall comply with the controller’s instructions</w:t>
      </w:r>
    </w:p>
    <w:p w:rsidR="00000000" w:rsidDel="00000000" w:rsidP="00000000" w:rsidRDefault="00000000" w:rsidRPr="00000000" w14:paraId="0000004B">
      <w:pPr>
        <w:numPr>
          <w:ilvl w:val="0"/>
          <w:numId w:val="10"/>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addition to the processor’s obligation to assist the controller pursuant to Clause 8(b), the processor shall furthermore assist the controller in ensuring compliance with the following obligations, taking into account the nature of the data processing and the information available to the processor:</w:t>
      </w:r>
    </w:p>
    <w:p w:rsidR="00000000" w:rsidDel="00000000" w:rsidP="00000000" w:rsidRDefault="00000000" w:rsidRPr="00000000" w14:paraId="0000004C">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rsidR="00000000" w:rsidDel="00000000" w:rsidP="00000000" w:rsidRDefault="00000000" w:rsidRPr="00000000" w14:paraId="0000004D">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obligation to consult the competent supervisory authority/ies prior to processing where a data protection impact assessment indicates that the processing would result in a high risk in the absence of measures taken by the controller to mitigate the risk;</w:t>
      </w:r>
    </w:p>
    <w:p w:rsidR="00000000" w:rsidDel="00000000" w:rsidP="00000000" w:rsidRDefault="00000000" w:rsidRPr="00000000" w14:paraId="0000004E">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obligation to ensure that personal data is accurate and up to date, by informing the controller without delay if the processor becomes aware that the personal data it is processing is inaccurate or has become outdated;</w:t>
      </w:r>
    </w:p>
    <w:p w:rsidR="00000000" w:rsidDel="00000000" w:rsidP="00000000" w:rsidRDefault="00000000" w:rsidRPr="00000000" w14:paraId="0000004F">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obligations in Article 32 Regulation (EU) 2016/679/.</w:t>
      </w:r>
    </w:p>
    <w:p w:rsidR="00000000" w:rsidDel="00000000" w:rsidP="00000000" w:rsidRDefault="00000000" w:rsidRPr="00000000" w14:paraId="00000050">
      <w:pPr>
        <w:numPr>
          <w:ilvl w:val="0"/>
          <w:numId w:val="10"/>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Parties shall set out in Annex III the appropriate technical and organisational measures by which the processor is required to assist the controller in the application of this Clause as well as the scope and the extent of the assistance required. </w:t>
      </w:r>
    </w:p>
    <w:p w:rsidR="00000000" w:rsidDel="00000000" w:rsidP="00000000" w:rsidRDefault="00000000" w:rsidRPr="00000000" w14:paraId="00000051">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9</w:t>
      </w:r>
    </w:p>
    <w:p w:rsidR="00000000" w:rsidDel="00000000" w:rsidP="00000000" w:rsidRDefault="00000000" w:rsidRPr="00000000" w14:paraId="00000052">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Notification of personal data breach</w:t>
      </w:r>
    </w:p>
    <w:p w:rsidR="00000000" w:rsidDel="00000000" w:rsidP="00000000" w:rsidRDefault="00000000" w:rsidRPr="00000000" w14:paraId="0000005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event of a personal data breach, the processor shall cooperate with and assist the controller for the controller to comply with its obligations under Articles 33 and 34 Regulation (EU) 2016/679 or under Articles 34 and 35 Regulation (EU) 2018/1725, where applicable, taking into account the nature of processing and the information available to the processor.</w:t>
      </w:r>
    </w:p>
    <w:p w:rsidR="00000000" w:rsidDel="00000000" w:rsidP="00000000" w:rsidRDefault="00000000" w:rsidRPr="00000000" w14:paraId="00000054">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9.1 Data breach concerning data processed by the controller</w:t>
      </w:r>
    </w:p>
    <w:p w:rsidR="00000000" w:rsidDel="00000000" w:rsidP="00000000" w:rsidRDefault="00000000" w:rsidRPr="00000000" w14:paraId="0000005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event of a personal data breach concerning data processed by the controller, the processor shall assist the controller:</w:t>
      </w:r>
    </w:p>
    <w:p w:rsidR="00000000" w:rsidDel="00000000" w:rsidP="00000000" w:rsidRDefault="00000000" w:rsidRPr="00000000" w14:paraId="00000056">
      <w:pPr>
        <w:numPr>
          <w:ilvl w:val="0"/>
          <w:numId w:val="9"/>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notifying the personal data breach to the competent supervisory authority/ies, without undue delay after the controller has become aware of it, where relevant/(unless the personal data breach is unlikely to result in a risk to the rights and freedoms of natural persons); </w:t>
      </w:r>
    </w:p>
    <w:p w:rsidR="00000000" w:rsidDel="00000000" w:rsidP="00000000" w:rsidRDefault="00000000" w:rsidRPr="00000000" w14:paraId="00000057">
      <w:pPr>
        <w:numPr>
          <w:ilvl w:val="0"/>
          <w:numId w:val="9"/>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obtaining the following information which, pursuant to Article 33(3) Regulation (EU) 2016/679/, shall be stated in the controller’s notification, and must at least include:</w:t>
      </w:r>
    </w:p>
    <w:p w:rsidR="00000000" w:rsidDel="00000000" w:rsidP="00000000" w:rsidRDefault="00000000" w:rsidRPr="00000000" w14:paraId="00000058">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nature of the personal data including where possible, the categories and approximate number of data subjects concerned and the categories and approximate number of personal data records concerned; </w:t>
      </w:r>
    </w:p>
    <w:p w:rsidR="00000000" w:rsidDel="00000000" w:rsidP="00000000" w:rsidRDefault="00000000" w:rsidRPr="00000000" w14:paraId="00000059">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likely consequences of the personal data breach; </w:t>
      </w:r>
    </w:p>
    <w:p w:rsidR="00000000" w:rsidDel="00000000" w:rsidP="00000000" w:rsidRDefault="00000000" w:rsidRPr="00000000" w14:paraId="0000005A">
      <w:pPr>
        <w:numPr>
          <w:ilvl w:val="1"/>
          <w:numId w:val="10"/>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measures taken or proposed to be taken by the controller to address the personal data breach, including, where appropriate, measures to mitigate its possible adverse effects. </w:t>
      </w:r>
    </w:p>
    <w:p w:rsidR="00000000" w:rsidDel="00000000" w:rsidP="00000000" w:rsidRDefault="00000000" w:rsidRPr="00000000" w14:paraId="0000005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and insofar as, it is not possible to provide all this information at the same time, the initial notification shall contain the information then available and further information shall, as it becomes available, subsequently be provided without undue delay.</w:t>
      </w:r>
    </w:p>
    <w:p w:rsidR="00000000" w:rsidDel="00000000" w:rsidP="00000000" w:rsidRDefault="00000000" w:rsidRPr="00000000" w14:paraId="0000005C">
      <w:pPr>
        <w:numPr>
          <w:ilvl w:val="0"/>
          <w:numId w:val="9"/>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rsidR="00000000" w:rsidDel="00000000" w:rsidP="00000000" w:rsidRDefault="00000000" w:rsidRPr="00000000" w14:paraId="0000005D">
      <w:pPr>
        <w:pStyle w:val="Heading4"/>
        <w:spacing w:after="160" w:before="360" w:line="259" w:lineRule="auto"/>
        <w:ind w:left="0" w:firstLine="0"/>
        <w:rPr>
          <w:rFonts w:ascii="Times New Roman" w:cs="Times New Roman" w:eastAsia="Times New Roman" w:hAnsi="Times New Roman"/>
          <w:b w:val="1"/>
          <w:bCs w:val="1"/>
          <w:i w:val="0"/>
          <w:iCs w:val="0"/>
        </w:rPr>
      </w:pPr>
      <w:r w:rsidDel="00000000" w:rsidR="00000000" w:rsidRPr="00000000">
        <w:rPr>
          <w:rFonts w:ascii="Times New Roman" w:cs="Times New Roman" w:eastAsia="Times New Roman" w:hAnsi="Times New Roman"/>
          <w:b w:val="1"/>
          <w:bCs w:val="1"/>
          <w:i w:val="0"/>
          <w:iCs w:val="0"/>
          <w:rtl w:val="0"/>
        </w:rPr>
        <w:t xml:space="preserve">9.2 Data breach concerning data processed by the processor</w:t>
      </w:r>
    </w:p>
    <w:p w:rsidR="00000000" w:rsidDel="00000000" w:rsidP="00000000" w:rsidRDefault="00000000" w:rsidRPr="00000000" w14:paraId="0000005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event of a personal data breach concerning data processed by the processor, the processor shall notify the controller without undue delay after the processor having become aware of the breach. Such notification shall contain, at least:</w:t>
      </w:r>
    </w:p>
    <w:p w:rsidR="00000000" w:rsidDel="00000000" w:rsidP="00000000" w:rsidRDefault="00000000" w:rsidRPr="00000000" w14:paraId="0000005F">
      <w:pPr>
        <w:numPr>
          <w:ilvl w:val="0"/>
          <w:numId w:val="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description of the nature of the breach (including, where possible, the categories and approximate number of data subjects and data records concerned);</w:t>
      </w:r>
    </w:p>
    <w:p w:rsidR="00000000" w:rsidDel="00000000" w:rsidP="00000000" w:rsidRDefault="00000000" w:rsidRPr="00000000" w14:paraId="00000060">
      <w:pPr>
        <w:numPr>
          <w:ilvl w:val="0"/>
          <w:numId w:val="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details of a contact point where more information concerning the personal data breach can be obtained;</w:t>
      </w:r>
    </w:p>
    <w:p w:rsidR="00000000" w:rsidDel="00000000" w:rsidP="00000000" w:rsidRDefault="00000000" w:rsidRPr="00000000" w14:paraId="00000061">
      <w:pPr>
        <w:numPr>
          <w:ilvl w:val="0"/>
          <w:numId w:val="5"/>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its likely consequences and the measures taken or proposed to be taken to address the breach, including to mitigate its possible adverse effects.</w:t>
      </w:r>
    </w:p>
    <w:p w:rsidR="00000000" w:rsidDel="00000000" w:rsidP="00000000" w:rsidRDefault="00000000" w:rsidRPr="00000000" w14:paraId="0000006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and insofar as, it is not possible to provide all this information at the same time, the initial notification shall contain the information then available and further information shall, as it becomes available, subsequently be provided without undue delay.</w:t>
      </w:r>
    </w:p>
    <w:p w:rsidR="00000000" w:rsidDel="00000000" w:rsidP="00000000" w:rsidRDefault="00000000" w:rsidRPr="00000000" w14:paraId="0000006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Parties shall set out in Annex III all other elements to be provided by the processor when assisting the controller in the compliance with the controller’s obligations under Articles 33 and 34 of Regulation (EU) 2016/679.</w:t>
      </w:r>
    </w:p>
    <w:p w:rsidR="00000000" w:rsidDel="00000000" w:rsidP="00000000" w:rsidRDefault="00000000" w:rsidRPr="00000000" w14:paraId="00000064">
      <w:pPr>
        <w:pStyle w:val="Heading1"/>
        <w:pageBreakBefore w:val="1"/>
        <w:spacing w:after="360" w:line="259" w:lineRule="auto"/>
        <w:ind w:left="431" w:firstLine="0"/>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SECTION III – FINAL PROVISIONS</w:t>
      </w:r>
    </w:p>
    <w:p w:rsidR="00000000" w:rsidDel="00000000" w:rsidP="00000000" w:rsidRDefault="00000000" w:rsidRPr="00000000" w14:paraId="00000065">
      <w:pPr>
        <w:pStyle w:val="Heading2"/>
        <w:spacing w:after="360" w:before="360" w:line="259" w:lineRule="auto"/>
        <w:ind w:left="0"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Clause 10 </w:t>
      </w:r>
    </w:p>
    <w:p w:rsidR="00000000" w:rsidDel="00000000" w:rsidP="00000000" w:rsidRDefault="00000000" w:rsidRPr="00000000" w14:paraId="00000066">
      <w:pPr>
        <w:pStyle w:val="Heading3"/>
        <w:spacing w:after="120" w:before="240" w:line="259" w:lineRule="auto"/>
        <w:ind w:lef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Non-compliance with the Clauses and termination</w:t>
      </w:r>
    </w:p>
    <w:p w:rsidR="00000000" w:rsidDel="00000000" w:rsidP="00000000" w:rsidRDefault="00000000" w:rsidRPr="00000000" w14:paraId="00000067">
      <w:pPr>
        <w:numPr>
          <w:ilvl w:val="0"/>
          <w:numId w:val="8"/>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Without prejudice to any provisions of Regulation (EU) 2016/679 and/or Regulation (EU) 2018/1725, in the event that the processor is in breach of its obligations under these Clauses, the controller may instruct the processor to suspend the processing of personal data until the latter complies with these Clauses or the contract is terminated. The processor shall promptly inform the controller in case it is unable to comply with these Clauses, for whatever reason.</w:t>
      </w:r>
    </w:p>
    <w:p w:rsidR="00000000" w:rsidDel="00000000" w:rsidP="00000000" w:rsidRDefault="00000000" w:rsidRPr="00000000" w14:paraId="00000068">
      <w:pPr>
        <w:numPr>
          <w:ilvl w:val="0"/>
          <w:numId w:val="8"/>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controller shall be entitled to terminate the contract insofar as it concerns processing of personal data in accordance with these Clauses if:</w:t>
      </w:r>
    </w:p>
    <w:p w:rsidR="00000000" w:rsidDel="00000000" w:rsidP="00000000" w:rsidRDefault="00000000" w:rsidRPr="00000000" w14:paraId="00000069">
      <w:pPr>
        <w:numPr>
          <w:ilvl w:val="0"/>
          <w:numId w:val="12"/>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processing of personal data by the processor has been suspended by the controller pursuant to point (a) and if compliance with these Clauses is not restored within a reasonable time and in any event within one month following suspension;</w:t>
      </w:r>
    </w:p>
    <w:p w:rsidR="00000000" w:rsidDel="00000000" w:rsidP="00000000" w:rsidRDefault="00000000" w:rsidRPr="00000000" w14:paraId="0000006A">
      <w:pPr>
        <w:numPr>
          <w:ilvl w:val="0"/>
          <w:numId w:val="12"/>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is in substantial or persistent breach of these Clauses or its obligations under Regulation (EU) 2016/679 and/or Regulation (EU) 2018/1725; </w:t>
      </w:r>
    </w:p>
    <w:p w:rsidR="00000000" w:rsidDel="00000000" w:rsidP="00000000" w:rsidRDefault="00000000" w:rsidRPr="00000000" w14:paraId="0000006B">
      <w:pPr>
        <w:numPr>
          <w:ilvl w:val="0"/>
          <w:numId w:val="12"/>
        </w:numPr>
        <w:spacing w:after="160" w:line="259" w:lineRule="auto"/>
        <w:ind w:left="1416" w:hanging="69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fails to comply with a binding decision of a competent court or the competent supervisory authority/ies regarding its obligations pursuant to these Clauses or to Regulation (EU) 2016/679 and/or Regulation (EU) 2018/1725.</w:t>
      </w:r>
    </w:p>
    <w:p w:rsidR="00000000" w:rsidDel="00000000" w:rsidP="00000000" w:rsidRDefault="00000000" w:rsidRPr="00000000" w14:paraId="0000006C">
      <w:pPr>
        <w:numPr>
          <w:ilvl w:val="0"/>
          <w:numId w:val="8"/>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processor shall be entitled to terminate the contract insofar as it concerns processing of personal data under these Clauses where, after having informed the controller that its instructions infringe applicable legal requirements in accordance with Clause 7.1 (b), the controller insists on compliance with the instructions.</w:t>
      </w:r>
    </w:p>
    <w:p w:rsidR="00000000" w:rsidDel="00000000" w:rsidP="00000000" w:rsidRDefault="00000000" w:rsidRPr="00000000" w14:paraId="0000006D">
      <w:pPr>
        <w:numPr>
          <w:ilvl w:val="0"/>
          <w:numId w:val="8"/>
        </w:numPr>
        <w:spacing w:after="160" w:line="259" w:lineRule="auto"/>
        <w:ind w:left="708"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Following termination of the contract, the processor shall, at the choice of the controller, delete all personal data processed on behalf of the controller and certify to the controller that it has done so, or, return all the personal data to the controller and delete existing copies unless Union or Member State law requires storage of the personal data. Until the data is deleted or returned, the processor shall continue to ensure compliance with these Clauses.</w:t>
      </w:r>
    </w:p>
    <w:p w:rsidR="00000000" w:rsidDel="00000000" w:rsidP="00000000" w:rsidRDefault="00000000" w:rsidRPr="00000000" w14:paraId="0000006E">
      <w:pPr>
        <w:keepNext w:val="1"/>
        <w:keepLines w:val="1"/>
        <w:pageBreakBefore w:val="1"/>
        <w:spacing w:after="360" w:before="360" w:line="259" w:lineRule="auto"/>
        <w:rPr>
          <w:rFonts w:ascii="Times New Roman" w:cs="Times New Roman" w:eastAsia="Times New Roman" w:hAnsi="Times New Roman"/>
          <w:b w:val="1"/>
          <w:bCs w:val="1"/>
          <w:smallCaps w:val="1"/>
          <w:u w:val="single"/>
        </w:rPr>
      </w:pPr>
      <w:r w:rsidDel="00000000" w:rsidR="00000000" w:rsidRPr="00000000">
        <w:rPr>
          <w:rFonts w:ascii="Times New Roman" w:cs="Times New Roman" w:eastAsia="Times New Roman" w:hAnsi="Times New Roman"/>
          <w:b w:val="1"/>
          <w:bCs w:val="1"/>
          <w:smallCaps w:val="1"/>
          <w:u w:val="single"/>
          <w:rtl w:val="0"/>
        </w:rPr>
        <w:t xml:space="preserve">ANNEX I LIST OF PARTIES</w:t>
      </w:r>
    </w:p>
    <w:p w:rsidR="00000000" w:rsidDel="00000000" w:rsidP="00000000" w:rsidRDefault="00000000" w:rsidRPr="00000000" w14:paraId="0000006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Controller(s):</w:t>
      </w:r>
      <w:r w:rsidDel="00000000" w:rsidR="00000000" w:rsidRPr="00000000">
        <w:rPr>
          <w:rFonts w:ascii="Times New Roman" w:cs="Times New Roman" w:eastAsia="Times New Roman" w:hAnsi="Times New Roman"/>
          <w:rtl w:val="0"/>
        </w:rPr>
        <w:t xml:space="preserve"> [Identity and contact details of the controller(s), and, where applicable, of the controller’s data protection officer]</w:t>
      </w:r>
    </w:p>
    <w:p w:rsidR="00000000" w:rsidDel="00000000" w:rsidP="00000000" w:rsidRDefault="00000000" w:rsidRPr="00000000" w14:paraId="00000070">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w:t>
      </w:r>
    </w:p>
    <w:p w:rsidR="00000000" w:rsidDel="00000000" w:rsidP="00000000" w:rsidRDefault="00000000" w:rsidRPr="00000000" w14:paraId="0000007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Address: …</w:t>
      </w:r>
    </w:p>
    <w:p w:rsidR="00000000" w:rsidDel="00000000" w:rsidP="00000000" w:rsidRDefault="00000000" w:rsidRPr="00000000" w14:paraId="0000007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person’s name, position and contact details: …</w:t>
      </w:r>
    </w:p>
    <w:p w:rsidR="00000000" w:rsidDel="00000000" w:rsidP="00000000" w:rsidRDefault="00000000" w:rsidRPr="00000000" w14:paraId="0000007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Signature and accession date: …</w:t>
      </w:r>
    </w:p>
    <w:p w:rsidR="00000000" w:rsidDel="00000000" w:rsidP="00000000" w:rsidRDefault="00000000" w:rsidRPr="00000000" w14:paraId="00000075">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77">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8">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Processor(s):</w:t>
      </w:r>
      <w:r w:rsidDel="00000000" w:rsidR="00000000" w:rsidRPr="00000000">
        <w:rPr>
          <w:rFonts w:ascii="Times New Roman" w:cs="Times New Roman" w:eastAsia="Times New Roman" w:hAnsi="Times New Roman"/>
          <w:rtl w:val="0"/>
        </w:rPr>
        <w:t xml:space="preserve"> [Identity and contact details of the processor(s) and, where applicable, of the processor’s data protection officer]</w:t>
      </w:r>
    </w:p>
    <w:p w:rsidR="00000000" w:rsidDel="00000000" w:rsidP="00000000" w:rsidRDefault="00000000" w:rsidRPr="00000000" w14:paraId="0000007A">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w:t>
      </w:r>
    </w:p>
    <w:p w:rsidR="00000000" w:rsidDel="00000000" w:rsidP="00000000" w:rsidRDefault="00000000" w:rsidRPr="00000000" w14:paraId="0000007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Address: …</w:t>
      </w:r>
    </w:p>
    <w:p w:rsidR="00000000" w:rsidDel="00000000" w:rsidP="00000000" w:rsidRDefault="00000000" w:rsidRPr="00000000" w14:paraId="0000007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person’s name, position and contact details: …</w:t>
      </w:r>
    </w:p>
    <w:p w:rsidR="00000000" w:rsidDel="00000000" w:rsidP="00000000" w:rsidRDefault="00000000" w:rsidRPr="00000000" w14:paraId="0000007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Signature and accession date: …</w:t>
      </w:r>
    </w:p>
    <w:p w:rsidR="00000000" w:rsidDel="00000000" w:rsidP="00000000" w:rsidRDefault="00000000" w:rsidRPr="00000000" w14:paraId="0000007F">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8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2">
      <w:pPr>
        <w:keepNext w:val="1"/>
        <w:keepLines w:val="1"/>
        <w:pageBreakBefore w:val="1"/>
        <w:spacing w:after="360" w:before="360" w:line="259" w:lineRule="auto"/>
        <w:rPr>
          <w:rFonts w:ascii="Times New Roman" w:cs="Times New Roman" w:eastAsia="Times New Roman" w:hAnsi="Times New Roman"/>
          <w:b w:val="1"/>
          <w:bCs w:val="1"/>
          <w:smallCaps w:val="1"/>
          <w:u w:val="single"/>
        </w:rPr>
      </w:pPr>
      <w:r w:rsidDel="00000000" w:rsidR="00000000" w:rsidRPr="00000000">
        <w:rPr>
          <w:rFonts w:ascii="Times New Roman" w:cs="Times New Roman" w:eastAsia="Times New Roman" w:hAnsi="Times New Roman"/>
          <w:b w:val="1"/>
          <w:bCs w:val="1"/>
          <w:smallCaps w:val="1"/>
          <w:u w:val="single"/>
          <w:rtl w:val="0"/>
        </w:rPr>
        <w:t xml:space="preserve">ANNEX II: DESCRIPTION OF THE PROCESSING</w:t>
      </w:r>
    </w:p>
    <w:p w:rsidR="00000000" w:rsidDel="00000000" w:rsidP="00000000" w:rsidRDefault="00000000" w:rsidRPr="00000000" w14:paraId="00000083">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Categories of data subjects whose personal data is processed</w:t>
      </w:r>
    </w:p>
    <w:p w:rsidR="00000000" w:rsidDel="00000000" w:rsidP="00000000" w:rsidRDefault="00000000" w:rsidRPr="00000000" w14:paraId="00000084">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5">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Categories of personal data processed</w:t>
      </w:r>
    </w:p>
    <w:p w:rsidR="00000000" w:rsidDel="00000000" w:rsidP="00000000" w:rsidRDefault="00000000" w:rsidRPr="00000000" w14:paraId="00000086">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7">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Sensitive data processed (if applicable) and applied restrictions or safeguards that fully take into consideration the nature of the data and the risks involved, such as for instance strict purpose limitation, access restrictions (including access only for staff having followed specialised training), keeping a record of access to the data, restrictions for onward transfers or additional security measures.</w:t>
      </w:r>
    </w:p>
    <w:p w:rsidR="00000000" w:rsidDel="00000000" w:rsidP="00000000" w:rsidRDefault="00000000" w:rsidRPr="00000000" w14:paraId="00000088">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9">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Nature of the processing</w:t>
      </w:r>
    </w:p>
    <w:p w:rsidR="00000000" w:rsidDel="00000000" w:rsidP="00000000" w:rsidRDefault="00000000" w:rsidRPr="00000000" w14:paraId="0000008A">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B">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Purpose(s) for which the personal data is processed on behalf of the controller</w:t>
      </w:r>
    </w:p>
    <w:p w:rsidR="00000000" w:rsidDel="00000000" w:rsidP="00000000" w:rsidRDefault="00000000" w:rsidRPr="00000000" w14:paraId="0000008C">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D">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Duration of the processing</w:t>
      </w:r>
    </w:p>
    <w:p w:rsidR="00000000" w:rsidDel="00000000" w:rsidP="00000000" w:rsidRDefault="00000000" w:rsidRPr="00000000" w14:paraId="0000008E">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8F">
      <w:pPr>
        <w:spacing w:after="160" w:line="259"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09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For processing by (sub-) processors, also specify subject matter, nature and duration of the processing</w:t>
      </w:r>
      <w:r w:rsidDel="00000000" w:rsidR="00000000" w:rsidRPr="00000000">
        <w:rPr>
          <w:rtl w:val="0"/>
        </w:rPr>
      </w:r>
    </w:p>
    <w:p w:rsidR="00000000" w:rsidDel="00000000" w:rsidP="00000000" w:rsidRDefault="00000000" w:rsidRPr="00000000" w14:paraId="00000091">
      <w:pPr>
        <w:keepNext w:val="1"/>
        <w:keepLines w:val="1"/>
        <w:pageBreakBefore w:val="1"/>
        <w:spacing w:after="360" w:before="360" w:line="259" w:lineRule="auto"/>
        <w:rPr>
          <w:rFonts w:ascii="Times New Roman" w:cs="Times New Roman" w:eastAsia="Times New Roman" w:hAnsi="Times New Roman"/>
          <w:b w:val="1"/>
          <w:bCs w:val="1"/>
          <w:smallCaps w:val="1"/>
          <w:u w:val="single"/>
        </w:rPr>
      </w:pPr>
      <w:r w:rsidDel="00000000" w:rsidR="00000000" w:rsidRPr="00000000">
        <w:rPr>
          <w:rFonts w:ascii="Times New Roman" w:cs="Times New Roman" w:eastAsia="Times New Roman" w:hAnsi="Times New Roman"/>
          <w:b w:val="1"/>
          <w:bCs w:val="1"/>
          <w:smallCaps w:val="1"/>
          <w:u w:val="single"/>
          <w:rtl w:val="0"/>
        </w:rPr>
        <w:t xml:space="preserve">ANNEX III </w:t>
      </w:r>
    </w:p>
    <w:p w:rsidR="00000000" w:rsidDel="00000000" w:rsidP="00000000" w:rsidRDefault="00000000" w:rsidRPr="00000000" w14:paraId="00000092">
      <w:pPr>
        <w:keepNext w:val="1"/>
        <w:keepLines w:val="1"/>
        <w:spacing w:after="360" w:before="360" w:line="259" w:lineRule="auto"/>
        <w:rPr>
          <w:rFonts w:ascii="Times New Roman" w:cs="Times New Roman" w:eastAsia="Times New Roman" w:hAnsi="Times New Roman"/>
          <w:b w:val="1"/>
          <w:bCs w:val="1"/>
          <w:smallCaps w:val="1"/>
          <w:u w:val="single"/>
        </w:rPr>
      </w:pPr>
      <w:r w:rsidDel="00000000" w:rsidR="00000000" w:rsidRPr="00000000">
        <w:rPr>
          <w:rFonts w:ascii="Times New Roman" w:cs="Times New Roman" w:eastAsia="Times New Roman" w:hAnsi="Times New Roman"/>
          <w:b w:val="1"/>
          <w:bCs w:val="1"/>
          <w:smallCaps w:val="1"/>
          <w:u w:val="single"/>
          <w:rtl w:val="0"/>
        </w:rPr>
        <w:t xml:space="preserve">TECHNICAL AND ORGANISATIONAL MEASURES INCLUDING TECHNICAL AND ORGANISATIONAL MEASURES TO ENSURE THE SECURITY OF THE DATA</w:t>
      </w:r>
    </w:p>
    <w:p w:rsidR="00000000" w:rsidDel="00000000" w:rsidP="00000000" w:rsidRDefault="00000000" w:rsidRPr="00000000" w14:paraId="00000093">
      <w:pPr>
        <w:numPr>
          <w:ilvl w:val="0"/>
          <w:numId w:val="7"/>
        </w:numPr>
        <w:spacing w:after="120" w:before="240" w:line="259" w:lineRule="auto"/>
        <w:ind w:left="360" w:hanging="360"/>
        <w:jc w:val="both"/>
        <w:rPr>
          <w:rFonts w:ascii="Times New Roman" w:cs="Times New Roman" w:eastAsia="Times New Roman" w:hAnsi="Times New Roman"/>
          <w:b w:val="1"/>
          <w:bCs w:val="1"/>
          <w:sz w:val="24"/>
          <w:szCs w:val="24"/>
        </w:rPr>
      </w:pPr>
      <w:bookmarkStart w:colFirst="0" w:colLast="0" w:name="_heading=h.18koxea77qvn" w:id="4"/>
      <w:bookmarkEnd w:id="4"/>
      <w:r w:rsidDel="00000000" w:rsidR="00000000" w:rsidRPr="00000000">
        <w:rPr>
          <w:rFonts w:ascii="Times New Roman" w:cs="Times New Roman" w:eastAsia="Times New Roman" w:hAnsi="Times New Roman"/>
          <w:b w:val="1"/>
          <w:bCs w:val="1"/>
          <w:sz w:val="24"/>
          <w:szCs w:val="24"/>
          <w:rtl w:val="0"/>
        </w:rPr>
        <w:t xml:space="preserve">Introduction</w:t>
      </w:r>
    </w:p>
    <w:p w:rsidR="00000000" w:rsidDel="00000000" w:rsidP="00000000" w:rsidRDefault="00000000" w:rsidRPr="00000000" w14:paraId="0000009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Vendors are expected to maintain the minimum information security requirements. This document is based on ISO 27001 controls and EBU R143 </w:t>
      </w:r>
      <w:r w:rsidDel="00000000" w:rsidR="00000000" w:rsidRPr="00000000">
        <w:rPr>
          <w:rFonts w:ascii="Times New Roman" w:cs="Times New Roman" w:eastAsia="Times New Roman" w:hAnsi="Times New Roman"/>
          <w:i w:val="1"/>
          <w:iCs w:val="1"/>
          <w:rtl w:val="0"/>
        </w:rPr>
        <w:t xml:space="preserve">Cybersecurity Recommendation for Media Vendors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 Systems, Software &amp; Services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5">
      <w:pPr>
        <w:numPr>
          <w:ilvl w:val="0"/>
          <w:numId w:val="7"/>
        </w:numPr>
        <w:spacing w:after="120" w:before="240" w:line="259" w:lineRule="auto"/>
        <w:ind w:left="360" w:hanging="360"/>
        <w:jc w:val="both"/>
        <w:rPr>
          <w:rFonts w:ascii="Times New Roman" w:cs="Times New Roman" w:eastAsia="Times New Roman" w:hAnsi="Times New Roman"/>
          <w:b w:val="1"/>
          <w:bCs w:val="1"/>
          <w:sz w:val="24"/>
          <w:szCs w:val="24"/>
        </w:rPr>
      </w:pPr>
      <w:bookmarkStart w:colFirst="0" w:colLast="0" w:name="_heading=h.gkgwq0fr1y2x" w:id="5"/>
      <w:bookmarkEnd w:id="5"/>
      <w:r w:rsidDel="00000000" w:rsidR="00000000" w:rsidRPr="00000000">
        <w:rPr>
          <w:rFonts w:ascii="Times New Roman" w:cs="Times New Roman" w:eastAsia="Times New Roman" w:hAnsi="Times New Roman"/>
          <w:b w:val="1"/>
          <w:bCs w:val="1"/>
          <w:sz w:val="24"/>
          <w:szCs w:val="24"/>
          <w:rtl w:val="0"/>
        </w:rPr>
        <w:t xml:space="preserve">Organisational Measures</w:t>
      </w:r>
    </w:p>
    <w:p w:rsidR="00000000" w:rsidDel="00000000" w:rsidP="00000000" w:rsidRDefault="00000000" w:rsidRPr="00000000" w14:paraId="00000096">
      <w:pPr>
        <w:spacing w:after="160" w:line="259" w:lineRule="auto"/>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Please answer the following statements (Y=Yes, N=No or N/A=Not applicable).</w:t>
      </w:r>
      <w:r w:rsidDel="00000000" w:rsidR="00000000" w:rsidRPr="00000000">
        <w:rPr>
          <w:rFonts w:ascii="Times New Roman" w:cs="Times New Roman" w:eastAsia="Times New Roman" w:hAnsi="Times New Roman"/>
          <w:color w:val="ff0000"/>
          <w:rtl w:val="0"/>
        </w:rPr>
        <w:t xml:space="preserve"> </w:t>
      </w:r>
    </w:p>
    <w:tbl>
      <w:tblPr>
        <w:tblStyle w:val="Table1"/>
        <w:tblW w:w="9015.0" w:type="dxa"/>
        <w:jc w:val="left"/>
        <w:tblBorders>
          <w:top w:color="7f7f7f" w:space="0" w:sz="4" w:val="single"/>
          <w:left w:color="7f7f7f" w:space="0" w:sz="4" w:val="single"/>
          <w:bottom w:color="7f7f7f" w:space="0" w:sz="4" w:val="single"/>
          <w:right w:color="7f7f7f" w:space="0" w:sz="4" w:val="single"/>
          <w:insideH w:color="7f7f7f" w:space="0" w:sz="4" w:val="single"/>
          <w:insideV w:color="7f7f7f" w:space="0" w:sz="4" w:val="single"/>
        </w:tblBorders>
        <w:tblLayout w:type="fixed"/>
        <w:tblLook w:val="0400"/>
      </w:tblPr>
      <w:tblGrid>
        <w:gridCol w:w="541"/>
        <w:gridCol w:w="3191"/>
        <w:gridCol w:w="598"/>
        <w:gridCol w:w="598"/>
        <w:gridCol w:w="598"/>
        <w:gridCol w:w="3489"/>
        <w:tblGridChange w:id="0">
          <w:tblGrid>
            <w:gridCol w:w="541"/>
            <w:gridCol w:w="3191"/>
            <w:gridCol w:w="598"/>
            <w:gridCol w:w="598"/>
            <w:gridCol w:w="598"/>
            <w:gridCol w:w="3489"/>
          </w:tblGrid>
        </w:tblGridChange>
      </w:tblGrid>
      <w:tr>
        <w:trPr>
          <w:cantSplit w:val="0"/>
          <w:tblHeader w:val="0"/>
        </w:trPr>
        <w:tc>
          <w:tcPr>
            <w:shd w:fill="44546a" w:val="clear"/>
          </w:tcPr>
          <w:p w:rsidR="00000000" w:rsidDel="00000000" w:rsidP="00000000" w:rsidRDefault="00000000" w:rsidRPr="00000000" w14:paraId="00000097">
            <w:pPr>
              <w:rPr>
                <w:color w:val="ffffff"/>
              </w:rPr>
            </w:pPr>
            <w:r w:rsidDel="00000000" w:rsidR="00000000" w:rsidRPr="00000000">
              <w:rPr>
                <w:color w:val="ffffff"/>
                <w:rtl w:val="0"/>
              </w:rPr>
              <w:t xml:space="preserve">#</w:t>
            </w:r>
          </w:p>
        </w:tc>
        <w:tc>
          <w:tcPr>
            <w:shd w:fill="44546a" w:val="clear"/>
          </w:tcPr>
          <w:p w:rsidR="00000000" w:rsidDel="00000000" w:rsidP="00000000" w:rsidRDefault="00000000" w:rsidRPr="00000000" w14:paraId="00000098">
            <w:pPr>
              <w:rPr>
                <w:color w:val="ffffff"/>
              </w:rPr>
            </w:pPr>
            <w:r w:rsidDel="00000000" w:rsidR="00000000" w:rsidRPr="00000000">
              <w:rPr>
                <w:color w:val="ffffff"/>
                <w:rtl w:val="0"/>
              </w:rPr>
              <w:t xml:space="preserve">Description</w:t>
            </w:r>
          </w:p>
        </w:tc>
        <w:tc>
          <w:tcPr>
            <w:shd w:fill="44546a" w:val="clear"/>
          </w:tcPr>
          <w:p w:rsidR="00000000" w:rsidDel="00000000" w:rsidP="00000000" w:rsidRDefault="00000000" w:rsidRPr="00000000" w14:paraId="00000099">
            <w:pPr>
              <w:jc w:val="center"/>
              <w:rPr>
                <w:color w:val="ffffff"/>
              </w:rPr>
            </w:pPr>
            <w:r w:rsidDel="00000000" w:rsidR="00000000" w:rsidRPr="00000000">
              <w:rPr>
                <w:color w:val="ffffff"/>
                <w:rtl w:val="0"/>
              </w:rPr>
              <w:t xml:space="preserve">Y</w:t>
            </w:r>
          </w:p>
        </w:tc>
        <w:tc>
          <w:tcPr>
            <w:shd w:fill="44546a" w:val="clear"/>
          </w:tcPr>
          <w:p w:rsidR="00000000" w:rsidDel="00000000" w:rsidP="00000000" w:rsidRDefault="00000000" w:rsidRPr="00000000" w14:paraId="0000009A">
            <w:pPr>
              <w:jc w:val="center"/>
              <w:rPr>
                <w:color w:val="ffffff"/>
              </w:rPr>
            </w:pPr>
            <w:r w:rsidDel="00000000" w:rsidR="00000000" w:rsidRPr="00000000">
              <w:rPr>
                <w:color w:val="ffffff"/>
                <w:rtl w:val="0"/>
              </w:rPr>
              <w:t xml:space="preserve">N</w:t>
            </w:r>
          </w:p>
        </w:tc>
        <w:tc>
          <w:tcPr>
            <w:shd w:fill="44546a" w:val="clear"/>
          </w:tcPr>
          <w:p w:rsidR="00000000" w:rsidDel="00000000" w:rsidP="00000000" w:rsidRDefault="00000000" w:rsidRPr="00000000" w14:paraId="0000009B">
            <w:pPr>
              <w:jc w:val="center"/>
              <w:rPr>
                <w:color w:val="ffffff"/>
              </w:rPr>
            </w:pPr>
            <w:r w:rsidDel="00000000" w:rsidR="00000000" w:rsidRPr="00000000">
              <w:rPr>
                <w:color w:val="ffffff"/>
                <w:rtl w:val="0"/>
              </w:rPr>
              <w:t xml:space="preserve">N/A</w:t>
            </w:r>
          </w:p>
        </w:tc>
        <w:tc>
          <w:tcPr>
            <w:shd w:fill="44546a" w:val="clear"/>
          </w:tcPr>
          <w:p w:rsidR="00000000" w:rsidDel="00000000" w:rsidP="00000000" w:rsidRDefault="00000000" w:rsidRPr="00000000" w14:paraId="0000009C">
            <w:pPr>
              <w:rPr>
                <w:color w:val="ffffff"/>
              </w:rPr>
            </w:pPr>
            <w:r w:rsidDel="00000000" w:rsidR="00000000" w:rsidRPr="00000000">
              <w:rPr>
                <w:color w:val="ffffff"/>
                <w:rtl w:val="0"/>
              </w:rPr>
              <w:t xml:space="preserve">Comments </w:t>
            </w:r>
          </w:p>
        </w:tc>
      </w:tr>
      <w:tr>
        <w:trPr>
          <w:cantSplit w:val="0"/>
          <w:tblHeader w:val="0"/>
        </w:trPr>
        <w:tc>
          <w:tcPr/>
          <w:p w:rsidR="00000000" w:rsidDel="00000000" w:rsidP="00000000" w:rsidRDefault="00000000" w:rsidRPr="00000000" w14:paraId="0000009D">
            <w:pPr>
              <w:numPr>
                <w:ilvl w:val="0"/>
                <w:numId w:val="13"/>
              </w:numPr>
              <w:spacing w:after="160" w:line="259" w:lineRule="auto"/>
              <w:ind w:left="360" w:hanging="360"/>
              <w:jc w:val="left"/>
              <w:rPr/>
            </w:pPr>
            <w:r w:rsidDel="00000000" w:rsidR="00000000" w:rsidRPr="00000000">
              <w:rPr>
                <w:rtl w:val="0"/>
              </w:rPr>
            </w:r>
          </w:p>
        </w:tc>
        <w:tc>
          <w:tcPr/>
          <w:p w:rsidR="00000000" w:rsidDel="00000000" w:rsidP="00000000" w:rsidRDefault="00000000" w:rsidRPr="00000000" w14:paraId="0000009E">
            <w:pPr>
              <w:pStyle w:val="Heading2"/>
              <w:spacing w:after="360" w:before="0" w:lineRule="auto"/>
              <w:jc w:val="left"/>
              <w:rPr>
                <w:sz w:val="24"/>
                <w:szCs w:val="24"/>
              </w:rPr>
            </w:pPr>
            <w:bookmarkStart w:colFirst="0" w:colLast="0" w:name="_heading=h.i6ovc7bcqxkx" w:id="6"/>
            <w:bookmarkEnd w:id="6"/>
            <w:r w:rsidDel="00000000" w:rsidR="00000000" w:rsidRPr="00000000">
              <w:rPr>
                <w:sz w:val="24"/>
                <w:szCs w:val="24"/>
                <w:rtl w:val="0"/>
              </w:rPr>
              <w:t xml:space="preserve">Security Governance</w:t>
            </w:r>
          </w:p>
          <w:p w:rsidR="00000000" w:rsidDel="00000000" w:rsidP="00000000" w:rsidRDefault="00000000" w:rsidRPr="00000000" w14:paraId="0000009F">
            <w:pPr>
              <w:rPr/>
            </w:pPr>
            <w:r w:rsidDel="00000000" w:rsidR="00000000" w:rsidRPr="00000000">
              <w:rPr>
                <w:rtl w:val="0"/>
              </w:rPr>
              <w:t xml:space="preserve">The vendor has a security policy that is regularly evaluated and updated.</w:t>
            </w:r>
          </w:p>
        </w:tc>
        <w:tc>
          <w:tcPr/>
          <w:p w:rsidR="00000000" w:rsidDel="00000000" w:rsidP="00000000" w:rsidRDefault="00000000" w:rsidRPr="00000000" w14:paraId="000000A0">
            <w:pPr>
              <w:jc w:val="center"/>
              <w:rPr/>
            </w:pPr>
            <w:r w:rsidDel="00000000" w:rsidR="00000000" w:rsidRPr="00000000">
              <w:rPr>
                <w:rtl w:val="0"/>
              </w:rPr>
            </w:r>
          </w:p>
        </w:tc>
        <w:tc>
          <w:tcPr/>
          <w:p w:rsidR="00000000" w:rsidDel="00000000" w:rsidP="00000000" w:rsidRDefault="00000000" w:rsidRPr="00000000" w14:paraId="000000A1">
            <w:pPr>
              <w:jc w:val="center"/>
              <w:rPr/>
            </w:pPr>
            <w:r w:rsidDel="00000000" w:rsidR="00000000" w:rsidRPr="00000000">
              <w:rPr>
                <w:rtl w:val="0"/>
              </w:rPr>
            </w:r>
          </w:p>
        </w:tc>
        <w:tc>
          <w:tcPr/>
          <w:p w:rsidR="00000000" w:rsidDel="00000000" w:rsidP="00000000" w:rsidRDefault="00000000" w:rsidRPr="00000000" w14:paraId="000000A2">
            <w:pPr>
              <w:jc w:val="center"/>
              <w:rPr/>
            </w:pPr>
            <w:r w:rsidDel="00000000" w:rsidR="00000000" w:rsidRPr="00000000">
              <w:rPr>
                <w:rtl w:val="0"/>
              </w:rPr>
            </w:r>
          </w:p>
        </w:tc>
        <w:tc>
          <w:tcPr/>
          <w:p w:rsidR="00000000" w:rsidDel="00000000" w:rsidP="00000000" w:rsidRDefault="00000000" w:rsidRPr="00000000" w14:paraId="000000A3">
            <w:pPr>
              <w:rPr/>
            </w:pPr>
            <w:r w:rsidDel="00000000" w:rsidR="00000000" w:rsidRPr="00000000">
              <w:rPr>
                <w:rtl w:val="0"/>
              </w:rPr>
            </w:r>
          </w:p>
        </w:tc>
      </w:tr>
      <w:tr>
        <w:trPr>
          <w:cantSplit w:val="0"/>
          <w:tblHeader w:val="0"/>
        </w:trPr>
        <w:tc>
          <w:tcPr/>
          <w:p w:rsidR="00000000" w:rsidDel="00000000" w:rsidP="00000000" w:rsidRDefault="00000000" w:rsidRPr="00000000" w14:paraId="000000A4">
            <w:pPr>
              <w:numPr>
                <w:ilvl w:val="0"/>
                <w:numId w:val="13"/>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A5">
            <w:pPr>
              <w:pStyle w:val="Heading2"/>
              <w:spacing w:after="360" w:before="0" w:lineRule="auto"/>
              <w:rPr>
                <w:sz w:val="24"/>
                <w:szCs w:val="24"/>
              </w:rPr>
            </w:pPr>
            <w:bookmarkStart w:colFirst="0" w:colLast="0" w:name="_heading=h.k5szqlmeahy3" w:id="7"/>
            <w:bookmarkEnd w:id="7"/>
            <w:r w:rsidDel="00000000" w:rsidR="00000000" w:rsidRPr="00000000">
              <w:rPr>
                <w:sz w:val="24"/>
                <w:szCs w:val="24"/>
                <w:rtl w:val="0"/>
              </w:rPr>
              <w:t xml:space="preserve">Risk Management</w:t>
            </w:r>
          </w:p>
          <w:p w:rsidR="00000000" w:rsidDel="00000000" w:rsidP="00000000" w:rsidRDefault="00000000" w:rsidRPr="00000000" w14:paraId="000000A6">
            <w:pPr>
              <w:jc w:val="left"/>
              <w:rPr/>
            </w:pPr>
            <w:r w:rsidDel="00000000" w:rsidR="00000000" w:rsidRPr="00000000">
              <w:rPr>
                <w:rtl w:val="0"/>
              </w:rPr>
              <w:t xml:space="preserve">The vendor identifies risks that are caused by its services and provides mitigating </w:t>
            </w:r>
            <w:r w:rsidDel="00000000" w:rsidR="00000000" w:rsidRPr="00000000">
              <w:rPr>
                <w:rFonts w:ascii="LFT Etica Bk" w:cs="LFT Etica Bk" w:eastAsia="LFT Etica Bk" w:hAnsi="LFT Etica Bk"/>
                <w:color w:val="333333"/>
                <w:rtl w:val="0"/>
              </w:rPr>
              <w:t xml:space="preserve">measures</w:t>
            </w:r>
            <w:r w:rsidDel="00000000" w:rsidR="00000000" w:rsidRPr="00000000">
              <w:rPr>
                <w:rtl w:val="0"/>
              </w:rPr>
              <w:t xml:space="preserve">.</w:t>
            </w:r>
          </w:p>
        </w:tc>
        <w:tc>
          <w:tcPr/>
          <w:p w:rsidR="00000000" w:rsidDel="00000000" w:rsidP="00000000" w:rsidRDefault="00000000" w:rsidRPr="00000000" w14:paraId="000000A7">
            <w:pPr>
              <w:jc w:val="center"/>
              <w:rPr/>
            </w:pPr>
            <w:r w:rsidDel="00000000" w:rsidR="00000000" w:rsidRPr="00000000">
              <w:rPr>
                <w:rtl w:val="0"/>
              </w:rPr>
            </w:r>
          </w:p>
        </w:tc>
        <w:tc>
          <w:tcPr/>
          <w:p w:rsidR="00000000" w:rsidDel="00000000" w:rsidP="00000000" w:rsidRDefault="00000000" w:rsidRPr="00000000" w14:paraId="000000A8">
            <w:pPr>
              <w:jc w:val="center"/>
              <w:rPr/>
            </w:pPr>
            <w:r w:rsidDel="00000000" w:rsidR="00000000" w:rsidRPr="00000000">
              <w:rPr>
                <w:rtl w:val="0"/>
              </w:rPr>
            </w:r>
          </w:p>
        </w:tc>
        <w:tc>
          <w:tcPr/>
          <w:p w:rsidR="00000000" w:rsidDel="00000000" w:rsidP="00000000" w:rsidRDefault="00000000" w:rsidRPr="00000000" w14:paraId="000000A9">
            <w:pPr>
              <w:jc w:val="center"/>
              <w:rPr/>
            </w:pPr>
            <w:r w:rsidDel="00000000" w:rsidR="00000000" w:rsidRPr="00000000">
              <w:rPr>
                <w:rtl w:val="0"/>
              </w:rPr>
            </w:r>
          </w:p>
        </w:tc>
        <w:tc>
          <w:tcPr/>
          <w:p w:rsidR="00000000" w:rsidDel="00000000" w:rsidP="00000000" w:rsidRDefault="00000000" w:rsidRPr="00000000" w14:paraId="000000AA">
            <w:pPr>
              <w:rPr/>
            </w:pPr>
            <w:r w:rsidDel="00000000" w:rsidR="00000000" w:rsidRPr="00000000">
              <w:rPr>
                <w:rtl w:val="0"/>
              </w:rPr>
            </w:r>
          </w:p>
        </w:tc>
      </w:tr>
      <w:tr>
        <w:trPr>
          <w:cantSplit w:val="0"/>
          <w:tblHeader w:val="0"/>
        </w:trPr>
        <w:tc>
          <w:tcPr/>
          <w:p w:rsidR="00000000" w:rsidDel="00000000" w:rsidP="00000000" w:rsidRDefault="00000000" w:rsidRPr="00000000" w14:paraId="000000AB">
            <w:pPr>
              <w:numPr>
                <w:ilvl w:val="0"/>
                <w:numId w:val="13"/>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AC">
            <w:pPr>
              <w:pStyle w:val="Heading2"/>
              <w:spacing w:after="360" w:before="0" w:lineRule="auto"/>
              <w:rPr>
                <w:sz w:val="24"/>
                <w:szCs w:val="24"/>
              </w:rPr>
            </w:pPr>
            <w:bookmarkStart w:colFirst="0" w:colLast="0" w:name="_heading=h.mgvcoot4h1ww" w:id="8"/>
            <w:bookmarkEnd w:id="8"/>
            <w:r w:rsidDel="00000000" w:rsidR="00000000" w:rsidRPr="00000000">
              <w:rPr>
                <w:sz w:val="24"/>
                <w:szCs w:val="24"/>
                <w:rtl w:val="0"/>
              </w:rPr>
              <w:t xml:space="preserve">Data Transfer</w:t>
            </w:r>
          </w:p>
          <w:p w:rsidR="00000000" w:rsidDel="00000000" w:rsidP="00000000" w:rsidRDefault="00000000" w:rsidRPr="00000000" w14:paraId="000000AD">
            <w:pPr>
              <w:jc w:val="left"/>
              <w:rPr/>
            </w:pPr>
            <w:r w:rsidDel="00000000" w:rsidR="00000000" w:rsidRPr="00000000">
              <w:rPr>
                <w:rtl w:val="0"/>
              </w:rPr>
              <w:t xml:space="preserve">NRK’s data is stored and processed only in the EEA.</w:t>
            </w:r>
          </w:p>
        </w:tc>
        <w:tc>
          <w:tcPr/>
          <w:p w:rsidR="00000000" w:rsidDel="00000000" w:rsidP="00000000" w:rsidRDefault="00000000" w:rsidRPr="00000000" w14:paraId="000000AE">
            <w:pPr>
              <w:jc w:val="center"/>
              <w:rPr/>
            </w:pPr>
            <w:r w:rsidDel="00000000" w:rsidR="00000000" w:rsidRPr="00000000">
              <w:rPr>
                <w:rtl w:val="0"/>
              </w:rPr>
            </w:r>
          </w:p>
        </w:tc>
        <w:tc>
          <w:tcPr/>
          <w:p w:rsidR="00000000" w:rsidDel="00000000" w:rsidP="00000000" w:rsidRDefault="00000000" w:rsidRPr="00000000" w14:paraId="000000AF">
            <w:pPr>
              <w:jc w:val="center"/>
              <w:rPr/>
            </w:pPr>
            <w:r w:rsidDel="00000000" w:rsidR="00000000" w:rsidRPr="00000000">
              <w:rPr>
                <w:rtl w:val="0"/>
              </w:rPr>
            </w:r>
          </w:p>
        </w:tc>
        <w:tc>
          <w:tcPr/>
          <w:p w:rsidR="00000000" w:rsidDel="00000000" w:rsidP="00000000" w:rsidRDefault="00000000" w:rsidRPr="00000000" w14:paraId="000000B0">
            <w:pPr>
              <w:jc w:val="center"/>
              <w:rPr/>
            </w:pPr>
            <w:r w:rsidDel="00000000" w:rsidR="00000000" w:rsidRPr="00000000">
              <w:rPr>
                <w:rtl w:val="0"/>
              </w:rPr>
            </w:r>
          </w:p>
        </w:tc>
        <w:tc>
          <w:tcPr/>
          <w:p w:rsidR="00000000" w:rsidDel="00000000" w:rsidP="00000000" w:rsidRDefault="00000000" w:rsidRPr="00000000" w14:paraId="000000B1">
            <w:pPr>
              <w:rPr/>
            </w:pPr>
            <w:r w:rsidDel="00000000" w:rsidR="00000000" w:rsidRPr="00000000">
              <w:rPr>
                <w:rtl w:val="0"/>
              </w:rPr>
            </w:r>
          </w:p>
        </w:tc>
      </w:tr>
      <w:tr>
        <w:trPr>
          <w:cantSplit w:val="0"/>
          <w:tblHeader w:val="0"/>
        </w:trPr>
        <w:tc>
          <w:tcPr/>
          <w:p w:rsidR="00000000" w:rsidDel="00000000" w:rsidP="00000000" w:rsidRDefault="00000000" w:rsidRPr="00000000" w14:paraId="000000B2">
            <w:pPr>
              <w:numPr>
                <w:ilvl w:val="0"/>
                <w:numId w:val="13"/>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3">
            <w:pPr>
              <w:pStyle w:val="Heading2"/>
              <w:spacing w:after="360" w:before="0" w:lineRule="auto"/>
              <w:rPr>
                <w:sz w:val="24"/>
                <w:szCs w:val="24"/>
              </w:rPr>
            </w:pPr>
            <w:bookmarkStart w:colFirst="0" w:colLast="0" w:name="_heading=h.xe7049zhnspz" w:id="9"/>
            <w:bookmarkEnd w:id="9"/>
            <w:r w:rsidDel="00000000" w:rsidR="00000000" w:rsidRPr="00000000">
              <w:rPr>
                <w:sz w:val="24"/>
                <w:szCs w:val="24"/>
                <w:rtl w:val="0"/>
              </w:rPr>
              <w:t xml:space="preserve">Personnel Security</w:t>
            </w:r>
          </w:p>
          <w:p w:rsidR="00000000" w:rsidDel="00000000" w:rsidP="00000000" w:rsidRDefault="00000000" w:rsidRPr="00000000" w14:paraId="000000B4">
            <w:pPr>
              <w:jc w:val="left"/>
              <w:rPr/>
            </w:pPr>
            <w:r w:rsidDel="00000000" w:rsidR="00000000" w:rsidRPr="00000000">
              <w:rPr>
                <w:rtl w:val="0"/>
              </w:rPr>
              <w:t xml:space="preserve">Background checks, such as identity and credential verification, </w:t>
              <w:br w:type="textWrapping"/>
              <w:t xml:space="preserve">are conducted on all personnel that are involved in the assignment.</w:t>
            </w:r>
          </w:p>
        </w:tc>
        <w:tc>
          <w:tcPr/>
          <w:p w:rsidR="00000000" w:rsidDel="00000000" w:rsidP="00000000" w:rsidRDefault="00000000" w:rsidRPr="00000000" w14:paraId="000000B5">
            <w:pPr>
              <w:jc w:val="center"/>
              <w:rPr/>
            </w:pPr>
            <w:r w:rsidDel="00000000" w:rsidR="00000000" w:rsidRPr="00000000">
              <w:rPr>
                <w:rtl w:val="0"/>
              </w:rPr>
            </w:r>
          </w:p>
        </w:tc>
        <w:tc>
          <w:tcPr/>
          <w:p w:rsidR="00000000" w:rsidDel="00000000" w:rsidP="00000000" w:rsidRDefault="00000000" w:rsidRPr="00000000" w14:paraId="000000B6">
            <w:pPr>
              <w:jc w:val="center"/>
              <w:rPr/>
            </w:pPr>
            <w:r w:rsidDel="00000000" w:rsidR="00000000" w:rsidRPr="00000000">
              <w:rPr>
                <w:rtl w:val="0"/>
              </w:rPr>
            </w:r>
          </w:p>
        </w:tc>
        <w:tc>
          <w:tcPr/>
          <w:p w:rsidR="00000000" w:rsidDel="00000000" w:rsidP="00000000" w:rsidRDefault="00000000" w:rsidRPr="00000000" w14:paraId="000000B7">
            <w:pPr>
              <w:jc w:val="center"/>
              <w:rPr/>
            </w:pPr>
            <w:r w:rsidDel="00000000" w:rsidR="00000000" w:rsidRPr="00000000">
              <w:rPr>
                <w:rtl w:val="0"/>
              </w:rPr>
            </w:r>
          </w:p>
        </w:tc>
        <w:tc>
          <w:tcPr/>
          <w:p w:rsidR="00000000" w:rsidDel="00000000" w:rsidP="00000000" w:rsidRDefault="00000000" w:rsidRPr="00000000" w14:paraId="000000B8">
            <w:pPr>
              <w:rPr/>
            </w:pPr>
            <w:r w:rsidDel="00000000" w:rsidR="00000000" w:rsidRPr="00000000">
              <w:rPr>
                <w:rtl w:val="0"/>
              </w:rPr>
            </w:r>
          </w:p>
        </w:tc>
      </w:tr>
      <w:tr>
        <w:trPr>
          <w:cantSplit w:val="0"/>
          <w:tblHeader w:val="0"/>
        </w:trPr>
        <w:tc>
          <w:tcPr/>
          <w:p w:rsidR="00000000" w:rsidDel="00000000" w:rsidP="00000000" w:rsidRDefault="00000000" w:rsidRPr="00000000" w14:paraId="000000B9">
            <w:pPr>
              <w:numPr>
                <w:ilvl w:val="0"/>
                <w:numId w:val="13"/>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A">
            <w:pPr>
              <w:pStyle w:val="Heading2"/>
              <w:spacing w:after="360" w:before="0" w:lineRule="auto"/>
              <w:jc w:val="left"/>
              <w:rPr>
                <w:sz w:val="24"/>
                <w:szCs w:val="24"/>
              </w:rPr>
            </w:pPr>
            <w:bookmarkStart w:colFirst="0" w:colLast="0" w:name="_heading=h.cebshxx57uuk" w:id="10"/>
            <w:bookmarkEnd w:id="10"/>
            <w:r w:rsidDel="00000000" w:rsidR="00000000" w:rsidRPr="00000000">
              <w:rPr>
                <w:sz w:val="24"/>
                <w:szCs w:val="24"/>
                <w:rtl w:val="0"/>
              </w:rPr>
              <w:t xml:space="preserve">Supply Chain</w:t>
            </w:r>
          </w:p>
          <w:p w:rsidR="00000000" w:rsidDel="00000000" w:rsidP="00000000" w:rsidRDefault="00000000" w:rsidRPr="00000000" w14:paraId="000000BB">
            <w:pPr>
              <w:rPr/>
            </w:pPr>
            <w:r w:rsidDel="00000000" w:rsidR="00000000" w:rsidRPr="00000000">
              <w:rPr>
                <w:rtl w:val="0"/>
              </w:rPr>
              <w:t xml:space="preserve">The vendor takes responsibility for the security of its supply chain. </w:t>
            </w:r>
          </w:p>
        </w:tc>
        <w:tc>
          <w:tcPr/>
          <w:p w:rsidR="00000000" w:rsidDel="00000000" w:rsidP="00000000" w:rsidRDefault="00000000" w:rsidRPr="00000000" w14:paraId="000000BC">
            <w:pPr>
              <w:jc w:val="center"/>
              <w:rPr/>
            </w:pPr>
            <w:r w:rsidDel="00000000" w:rsidR="00000000" w:rsidRPr="00000000">
              <w:rPr>
                <w:rtl w:val="0"/>
              </w:rPr>
            </w:r>
          </w:p>
        </w:tc>
        <w:tc>
          <w:tcPr/>
          <w:p w:rsidR="00000000" w:rsidDel="00000000" w:rsidP="00000000" w:rsidRDefault="00000000" w:rsidRPr="00000000" w14:paraId="000000BD">
            <w:pPr>
              <w:jc w:val="center"/>
              <w:rPr/>
            </w:pPr>
            <w:r w:rsidDel="00000000" w:rsidR="00000000" w:rsidRPr="00000000">
              <w:rPr>
                <w:rtl w:val="0"/>
              </w:rPr>
            </w:r>
          </w:p>
        </w:tc>
        <w:tc>
          <w:tcPr/>
          <w:p w:rsidR="00000000" w:rsidDel="00000000" w:rsidP="00000000" w:rsidRDefault="00000000" w:rsidRPr="00000000" w14:paraId="000000BE">
            <w:pPr>
              <w:jc w:val="center"/>
              <w:rPr/>
            </w:pPr>
            <w:r w:rsidDel="00000000" w:rsidR="00000000" w:rsidRPr="00000000">
              <w:rPr>
                <w:rtl w:val="0"/>
              </w:rPr>
            </w:r>
          </w:p>
        </w:tc>
        <w:tc>
          <w:tcPr/>
          <w:p w:rsidR="00000000" w:rsidDel="00000000" w:rsidP="00000000" w:rsidRDefault="00000000" w:rsidRPr="00000000" w14:paraId="000000BF">
            <w:pPr>
              <w:rPr/>
            </w:pPr>
            <w:r w:rsidDel="00000000" w:rsidR="00000000" w:rsidRPr="00000000">
              <w:rPr>
                <w:rtl w:val="0"/>
              </w:rPr>
            </w:r>
          </w:p>
        </w:tc>
      </w:tr>
    </w:tbl>
    <w:p w:rsidR="00000000" w:rsidDel="00000000" w:rsidP="00000000" w:rsidRDefault="00000000" w:rsidRPr="00000000" w14:paraId="000000C0">
      <w:pPr>
        <w:spacing w:after="160" w:line="259"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spacing w:after="160" w:line="259"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numPr>
          <w:ilvl w:val="0"/>
          <w:numId w:val="7"/>
        </w:numPr>
        <w:spacing w:after="360" w:before="0" w:lineRule="auto"/>
        <w:ind w:left="360" w:hanging="360"/>
        <w:jc w:val="both"/>
        <w:rPr>
          <w:rFonts w:ascii="Times New Roman" w:cs="Times New Roman" w:eastAsia="Times New Roman" w:hAnsi="Times New Roman"/>
          <w:b w:val="1"/>
          <w:bCs w:val="1"/>
          <w:sz w:val="24"/>
          <w:szCs w:val="24"/>
        </w:rPr>
      </w:pPr>
      <w:bookmarkStart w:colFirst="0" w:colLast="0" w:name="_heading=h.adsvu6v27kpx" w:id="11"/>
      <w:bookmarkEnd w:id="11"/>
      <w:r w:rsidDel="00000000" w:rsidR="00000000" w:rsidRPr="00000000">
        <w:rPr>
          <w:rFonts w:ascii="Times New Roman" w:cs="Times New Roman" w:eastAsia="Times New Roman" w:hAnsi="Times New Roman"/>
          <w:sz w:val="24"/>
          <w:szCs w:val="24"/>
          <w:rtl w:val="0"/>
        </w:rPr>
        <w:t xml:space="preserve">Technical Measures</w:t>
      </w:r>
      <w:r w:rsidDel="00000000" w:rsidR="00000000" w:rsidRPr="00000000">
        <w:rPr>
          <w:rtl w:val="0"/>
        </w:rPr>
      </w:r>
    </w:p>
    <w:p w:rsidR="00000000" w:rsidDel="00000000" w:rsidP="00000000" w:rsidRDefault="00000000" w:rsidRPr="00000000" w14:paraId="000000C3">
      <w:pPr>
        <w:spacing w:after="160" w:line="259" w:lineRule="auto"/>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Please answer the following statements (Y=Yes, N=No or N/A=Not applicable).</w:t>
      </w:r>
      <w:r w:rsidDel="00000000" w:rsidR="00000000" w:rsidRPr="00000000">
        <w:rPr>
          <w:rFonts w:ascii="Times New Roman" w:cs="Times New Roman" w:eastAsia="Times New Roman" w:hAnsi="Times New Roman"/>
          <w:color w:val="ff0000"/>
          <w:rtl w:val="0"/>
        </w:rPr>
        <w:t xml:space="preserve"> </w:t>
      </w:r>
    </w:p>
    <w:tbl>
      <w:tblPr>
        <w:tblStyle w:val="Table2"/>
        <w:tblW w:w="9030.0" w:type="dxa"/>
        <w:jc w:val="left"/>
        <w:tblBorders>
          <w:top w:color="7f7f7f" w:space="0" w:sz="4" w:val="single"/>
          <w:left w:color="7f7f7f" w:space="0" w:sz="4" w:val="single"/>
          <w:bottom w:color="7f7f7f" w:space="0" w:sz="4" w:val="single"/>
          <w:right w:color="7f7f7f" w:space="0" w:sz="4" w:val="single"/>
          <w:insideH w:color="7f7f7f" w:space="0" w:sz="4" w:val="single"/>
          <w:insideV w:color="7f7f7f" w:space="0" w:sz="4" w:val="single"/>
        </w:tblBorders>
        <w:tblLayout w:type="fixed"/>
        <w:tblLook w:val="0400"/>
      </w:tblPr>
      <w:tblGrid>
        <w:gridCol w:w="540"/>
        <w:gridCol w:w="3855"/>
        <w:gridCol w:w="570"/>
        <w:gridCol w:w="465"/>
        <w:gridCol w:w="105"/>
        <w:gridCol w:w="465"/>
        <w:gridCol w:w="105"/>
        <w:gridCol w:w="2925"/>
        <w:tblGridChange w:id="0">
          <w:tblGrid>
            <w:gridCol w:w="540"/>
            <w:gridCol w:w="3855"/>
            <w:gridCol w:w="570"/>
            <w:gridCol w:w="465"/>
            <w:gridCol w:w="105"/>
            <w:gridCol w:w="465"/>
            <w:gridCol w:w="105"/>
            <w:gridCol w:w="2925"/>
          </w:tblGrid>
        </w:tblGridChange>
      </w:tblGrid>
      <w:tr>
        <w:trPr>
          <w:cantSplit w:val="0"/>
          <w:tblHeader w:val="0"/>
        </w:trPr>
        <w:tc>
          <w:tcPr>
            <w:shd w:fill="44546a" w:val="clear"/>
          </w:tcPr>
          <w:p w:rsidR="00000000" w:rsidDel="00000000" w:rsidP="00000000" w:rsidRDefault="00000000" w:rsidRPr="00000000" w14:paraId="000000C4">
            <w:pPr>
              <w:rPr>
                <w:color w:val="ffffff"/>
              </w:rPr>
            </w:pPr>
            <w:r w:rsidDel="00000000" w:rsidR="00000000" w:rsidRPr="00000000">
              <w:rPr>
                <w:color w:val="ffffff"/>
                <w:rtl w:val="0"/>
              </w:rPr>
              <w:t xml:space="preserve">#</w:t>
            </w:r>
          </w:p>
        </w:tc>
        <w:tc>
          <w:tcPr>
            <w:shd w:fill="44546a" w:val="clear"/>
          </w:tcPr>
          <w:p w:rsidR="00000000" w:rsidDel="00000000" w:rsidP="00000000" w:rsidRDefault="00000000" w:rsidRPr="00000000" w14:paraId="000000C5">
            <w:pPr>
              <w:rPr>
                <w:color w:val="ffffff"/>
              </w:rPr>
            </w:pPr>
            <w:r w:rsidDel="00000000" w:rsidR="00000000" w:rsidRPr="00000000">
              <w:rPr>
                <w:color w:val="ffffff"/>
                <w:rtl w:val="0"/>
              </w:rPr>
              <w:t xml:space="preserve">Description</w:t>
            </w:r>
          </w:p>
        </w:tc>
        <w:tc>
          <w:tcPr>
            <w:shd w:fill="44546a" w:val="clear"/>
          </w:tcPr>
          <w:p w:rsidR="00000000" w:rsidDel="00000000" w:rsidP="00000000" w:rsidRDefault="00000000" w:rsidRPr="00000000" w14:paraId="000000C6">
            <w:pPr>
              <w:jc w:val="center"/>
              <w:rPr>
                <w:color w:val="ffffff"/>
              </w:rPr>
            </w:pPr>
            <w:r w:rsidDel="00000000" w:rsidR="00000000" w:rsidRPr="00000000">
              <w:rPr>
                <w:color w:val="ffffff"/>
                <w:rtl w:val="0"/>
              </w:rPr>
              <w:t xml:space="preserve">Y</w:t>
            </w:r>
          </w:p>
        </w:tc>
        <w:tc>
          <w:tcPr>
            <w:gridSpan w:val="2"/>
            <w:shd w:fill="44546a" w:val="clear"/>
          </w:tcPr>
          <w:p w:rsidR="00000000" w:rsidDel="00000000" w:rsidP="00000000" w:rsidRDefault="00000000" w:rsidRPr="00000000" w14:paraId="000000C7">
            <w:pPr>
              <w:jc w:val="center"/>
              <w:rPr>
                <w:color w:val="ffffff"/>
              </w:rPr>
            </w:pPr>
            <w:r w:rsidDel="00000000" w:rsidR="00000000" w:rsidRPr="00000000">
              <w:rPr>
                <w:color w:val="ffffff"/>
                <w:rtl w:val="0"/>
              </w:rPr>
              <w:t xml:space="preserve">N</w:t>
            </w:r>
          </w:p>
        </w:tc>
        <w:tc>
          <w:tcPr>
            <w:gridSpan w:val="2"/>
            <w:shd w:fill="44546a" w:val="clear"/>
          </w:tcPr>
          <w:p w:rsidR="00000000" w:rsidDel="00000000" w:rsidP="00000000" w:rsidRDefault="00000000" w:rsidRPr="00000000" w14:paraId="000000C9">
            <w:pPr>
              <w:jc w:val="center"/>
              <w:rPr>
                <w:color w:val="ffffff"/>
              </w:rPr>
            </w:pPr>
            <w:r w:rsidDel="00000000" w:rsidR="00000000" w:rsidRPr="00000000">
              <w:rPr>
                <w:color w:val="ffffff"/>
                <w:rtl w:val="0"/>
              </w:rPr>
              <w:t xml:space="preserve">N/A</w:t>
            </w:r>
          </w:p>
        </w:tc>
        <w:tc>
          <w:tcPr>
            <w:shd w:fill="44546a" w:val="clear"/>
          </w:tcPr>
          <w:p w:rsidR="00000000" w:rsidDel="00000000" w:rsidP="00000000" w:rsidRDefault="00000000" w:rsidRPr="00000000" w14:paraId="000000CB">
            <w:pPr>
              <w:rPr>
                <w:color w:val="ffffff"/>
              </w:rPr>
            </w:pPr>
            <w:r w:rsidDel="00000000" w:rsidR="00000000" w:rsidRPr="00000000">
              <w:rPr>
                <w:color w:val="ffffff"/>
                <w:rtl w:val="0"/>
              </w:rPr>
              <w:t xml:space="preserve">Comments </w:t>
            </w:r>
          </w:p>
        </w:tc>
      </w:tr>
      <w:tr>
        <w:trPr>
          <w:cantSplit w:val="0"/>
          <w:tblHeader w:val="0"/>
        </w:trPr>
        <w:tc>
          <w:tcPr/>
          <w:p w:rsidR="00000000" w:rsidDel="00000000" w:rsidP="00000000" w:rsidRDefault="00000000" w:rsidRPr="00000000" w14:paraId="000000CC">
            <w:pPr>
              <w:numPr>
                <w:ilvl w:val="0"/>
                <w:numId w:val="11"/>
              </w:numPr>
              <w:spacing w:after="160" w:line="259" w:lineRule="auto"/>
              <w:ind w:left="360" w:hanging="360"/>
              <w:jc w:val="left"/>
              <w:rPr/>
            </w:pPr>
            <w:r w:rsidDel="00000000" w:rsidR="00000000" w:rsidRPr="00000000">
              <w:rPr>
                <w:rtl w:val="0"/>
              </w:rPr>
            </w:r>
          </w:p>
        </w:tc>
        <w:tc>
          <w:tcPr/>
          <w:p w:rsidR="00000000" w:rsidDel="00000000" w:rsidP="00000000" w:rsidRDefault="00000000" w:rsidRPr="00000000" w14:paraId="000000CD">
            <w:pPr>
              <w:pStyle w:val="Heading2"/>
              <w:spacing w:after="360" w:before="0" w:lineRule="auto"/>
              <w:rPr>
                <w:sz w:val="24"/>
                <w:szCs w:val="24"/>
              </w:rPr>
            </w:pPr>
            <w:bookmarkStart w:colFirst="0" w:colLast="0" w:name="_heading=h.swwtkbfcs1qh" w:id="12"/>
            <w:bookmarkEnd w:id="12"/>
            <w:r w:rsidDel="00000000" w:rsidR="00000000" w:rsidRPr="00000000">
              <w:rPr>
                <w:sz w:val="24"/>
                <w:szCs w:val="24"/>
                <w:rtl w:val="0"/>
              </w:rPr>
              <w:t xml:space="preserve">Vulnerability Management</w:t>
            </w:r>
          </w:p>
          <w:p w:rsidR="00000000" w:rsidDel="00000000" w:rsidP="00000000" w:rsidRDefault="00000000" w:rsidRPr="00000000" w14:paraId="000000CE">
            <w:pPr>
              <w:jc w:val="left"/>
              <w:rPr/>
            </w:pPr>
            <w:r w:rsidDel="00000000" w:rsidR="00000000" w:rsidRPr="00000000">
              <w:rPr>
                <w:rtl w:val="0"/>
              </w:rPr>
              <w:t xml:space="preserve">The vendor ensures that a vulnerability management process is in place to keep track of identified vulnerabilities and patches that may fix them.</w:t>
            </w:r>
          </w:p>
        </w:tc>
        <w:tc>
          <w:tcPr/>
          <w:p w:rsidR="00000000" w:rsidDel="00000000" w:rsidP="00000000" w:rsidRDefault="00000000" w:rsidRPr="00000000" w14:paraId="000000CF">
            <w:pPr>
              <w:jc w:val="left"/>
              <w:rPr/>
            </w:pPr>
            <w:r w:rsidDel="00000000" w:rsidR="00000000" w:rsidRPr="00000000">
              <w:rPr>
                <w:rtl w:val="0"/>
              </w:rPr>
            </w:r>
          </w:p>
        </w:tc>
        <w:tc>
          <w:tcPr/>
          <w:p w:rsidR="00000000" w:rsidDel="00000000" w:rsidP="00000000" w:rsidRDefault="00000000" w:rsidRPr="00000000" w14:paraId="000000D0">
            <w:pPr>
              <w:jc w:val="left"/>
              <w:rPr/>
            </w:pPr>
            <w:r w:rsidDel="00000000" w:rsidR="00000000" w:rsidRPr="00000000">
              <w:rPr>
                <w:rtl w:val="0"/>
              </w:rPr>
            </w:r>
          </w:p>
          <w:p w:rsidR="00000000" w:rsidDel="00000000" w:rsidP="00000000" w:rsidRDefault="00000000" w:rsidRPr="00000000" w14:paraId="000000D1">
            <w:pPr>
              <w:jc w:val="left"/>
              <w:rPr/>
            </w:pPr>
            <w:r w:rsidDel="00000000" w:rsidR="00000000" w:rsidRPr="00000000">
              <w:rPr>
                <w:rtl w:val="0"/>
              </w:rPr>
            </w:r>
          </w:p>
        </w:tc>
        <w:tc>
          <w:tcPr>
            <w:gridSpan w:val="2"/>
          </w:tcPr>
          <w:p w:rsidR="00000000" w:rsidDel="00000000" w:rsidP="00000000" w:rsidRDefault="00000000" w:rsidRPr="00000000" w14:paraId="000000D2">
            <w:pPr>
              <w:jc w:val="left"/>
              <w:rPr/>
            </w:pPr>
            <w:r w:rsidDel="00000000" w:rsidR="00000000" w:rsidRPr="00000000">
              <w:rPr>
                <w:rtl w:val="0"/>
              </w:rPr>
            </w:r>
          </w:p>
          <w:p w:rsidR="00000000" w:rsidDel="00000000" w:rsidP="00000000" w:rsidRDefault="00000000" w:rsidRPr="00000000" w14:paraId="000000D3">
            <w:pPr>
              <w:jc w:val="left"/>
              <w:rPr/>
            </w:pPr>
            <w:r w:rsidDel="00000000" w:rsidR="00000000" w:rsidRPr="00000000">
              <w:rPr>
                <w:rtl w:val="0"/>
              </w:rPr>
            </w:r>
          </w:p>
        </w:tc>
        <w:tc>
          <w:tcPr>
            <w:gridSpan w:val="2"/>
          </w:tcPr>
          <w:p w:rsidR="00000000" w:rsidDel="00000000" w:rsidP="00000000" w:rsidRDefault="00000000" w:rsidRPr="00000000" w14:paraId="000000D5">
            <w:pPr>
              <w:jc w:val="left"/>
              <w:rPr/>
            </w:pPr>
            <w:r w:rsidDel="00000000" w:rsidR="00000000" w:rsidRPr="00000000">
              <w:rPr>
                <w:rtl w:val="0"/>
              </w:rPr>
            </w:r>
          </w:p>
        </w:tc>
      </w:tr>
      <w:tr>
        <w:trPr>
          <w:cantSplit w:val="0"/>
          <w:tblHeader w:val="0"/>
        </w:trPr>
        <w:tc>
          <w:tcPr/>
          <w:p w:rsidR="00000000" w:rsidDel="00000000" w:rsidP="00000000" w:rsidRDefault="00000000" w:rsidRPr="00000000" w14:paraId="000000D7">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D8">
            <w:pPr>
              <w:pStyle w:val="Heading2"/>
              <w:spacing w:after="360" w:before="0" w:lineRule="auto"/>
              <w:rPr>
                <w:sz w:val="24"/>
                <w:szCs w:val="24"/>
              </w:rPr>
            </w:pPr>
            <w:bookmarkStart w:colFirst="0" w:colLast="0" w:name="_heading=h.9tvtntm9js93" w:id="13"/>
            <w:bookmarkEnd w:id="13"/>
            <w:r w:rsidDel="00000000" w:rsidR="00000000" w:rsidRPr="00000000">
              <w:rPr>
                <w:sz w:val="24"/>
                <w:szCs w:val="24"/>
                <w:rtl w:val="0"/>
              </w:rPr>
              <w:t xml:space="preserve">Security Testing</w:t>
            </w:r>
          </w:p>
          <w:p w:rsidR="00000000" w:rsidDel="00000000" w:rsidP="00000000" w:rsidRDefault="00000000" w:rsidRPr="00000000" w14:paraId="000000D9">
            <w:pPr>
              <w:jc w:val="left"/>
              <w:rPr>
                <w:b w:val="1"/>
                <w:bCs w:val="1"/>
              </w:rPr>
            </w:pPr>
            <w:r w:rsidDel="00000000" w:rsidR="00000000" w:rsidRPr="00000000">
              <w:rPr>
                <w:rtl w:val="0"/>
              </w:rPr>
              <w:t xml:space="preserve">The vendor performs regular technical security analysis</w:t>
            </w:r>
            <w:r w:rsidDel="00000000" w:rsidR="00000000" w:rsidRPr="00000000">
              <w:rPr>
                <w:b w:val="1"/>
                <w:bCs w:val="1"/>
                <w:rtl w:val="0"/>
              </w:rPr>
              <w:t xml:space="preserve">,</w:t>
            </w:r>
            <w:r w:rsidDel="00000000" w:rsidR="00000000" w:rsidRPr="00000000">
              <w:rPr>
                <w:rtl w:val="0"/>
              </w:rPr>
              <w:t xml:space="preserve"> such as penetration or vulnerability testing.</w:t>
            </w:r>
            <w:r w:rsidDel="00000000" w:rsidR="00000000" w:rsidRPr="00000000">
              <w:rPr>
                <w:rtl w:val="0"/>
              </w:rPr>
            </w:r>
          </w:p>
        </w:tc>
        <w:tc>
          <w:tcPr/>
          <w:p w:rsidR="00000000" w:rsidDel="00000000" w:rsidP="00000000" w:rsidRDefault="00000000" w:rsidRPr="00000000" w14:paraId="000000DA">
            <w:pPr>
              <w:jc w:val="left"/>
              <w:rPr/>
            </w:pPr>
            <w:r w:rsidDel="00000000" w:rsidR="00000000" w:rsidRPr="00000000">
              <w:rPr>
                <w:rtl w:val="0"/>
              </w:rPr>
            </w:r>
          </w:p>
        </w:tc>
        <w:tc>
          <w:tcPr/>
          <w:p w:rsidR="00000000" w:rsidDel="00000000" w:rsidP="00000000" w:rsidRDefault="00000000" w:rsidRPr="00000000" w14:paraId="000000DB">
            <w:pPr>
              <w:jc w:val="left"/>
              <w:rPr/>
            </w:pPr>
            <w:r w:rsidDel="00000000" w:rsidR="00000000" w:rsidRPr="00000000">
              <w:rPr>
                <w:rtl w:val="0"/>
              </w:rPr>
            </w:r>
          </w:p>
        </w:tc>
        <w:tc>
          <w:tcPr>
            <w:gridSpan w:val="2"/>
          </w:tcPr>
          <w:p w:rsidR="00000000" w:rsidDel="00000000" w:rsidP="00000000" w:rsidRDefault="00000000" w:rsidRPr="00000000" w14:paraId="000000DC">
            <w:pPr>
              <w:jc w:val="left"/>
              <w:rPr/>
            </w:pPr>
            <w:r w:rsidDel="00000000" w:rsidR="00000000" w:rsidRPr="00000000">
              <w:rPr>
                <w:rtl w:val="0"/>
              </w:rPr>
            </w:r>
          </w:p>
        </w:tc>
        <w:tc>
          <w:tcPr>
            <w:gridSpan w:val="2"/>
          </w:tcPr>
          <w:p w:rsidR="00000000" w:rsidDel="00000000" w:rsidP="00000000" w:rsidRDefault="00000000" w:rsidRPr="00000000" w14:paraId="000000DE">
            <w:pPr>
              <w:jc w:val="left"/>
              <w:rPr/>
            </w:pPr>
            <w:r w:rsidDel="00000000" w:rsidR="00000000" w:rsidRPr="00000000">
              <w:rPr>
                <w:rtl w:val="0"/>
              </w:rPr>
            </w:r>
          </w:p>
        </w:tc>
      </w:tr>
      <w:tr>
        <w:trPr>
          <w:cantSplit w:val="0"/>
          <w:tblHeader w:val="0"/>
        </w:trPr>
        <w:tc>
          <w:tcPr/>
          <w:p w:rsidR="00000000" w:rsidDel="00000000" w:rsidP="00000000" w:rsidRDefault="00000000" w:rsidRPr="00000000" w14:paraId="000000E0">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1">
            <w:pPr>
              <w:pStyle w:val="Heading2"/>
              <w:spacing w:after="360" w:before="0" w:lineRule="auto"/>
              <w:rPr>
                <w:sz w:val="24"/>
                <w:szCs w:val="24"/>
              </w:rPr>
            </w:pPr>
            <w:bookmarkStart w:colFirst="0" w:colLast="0" w:name="_heading=h.m2fo3llasl85" w:id="14"/>
            <w:bookmarkEnd w:id="14"/>
            <w:r w:rsidDel="00000000" w:rsidR="00000000" w:rsidRPr="00000000">
              <w:rPr>
                <w:sz w:val="24"/>
                <w:szCs w:val="24"/>
                <w:rtl w:val="0"/>
              </w:rPr>
              <w:t xml:space="preserve">Incident Response Management</w:t>
            </w:r>
          </w:p>
          <w:p w:rsidR="00000000" w:rsidDel="00000000" w:rsidP="00000000" w:rsidRDefault="00000000" w:rsidRPr="00000000" w14:paraId="000000E2">
            <w:pPr>
              <w:jc w:val="left"/>
              <w:rPr/>
            </w:pPr>
            <w:r w:rsidDel="00000000" w:rsidR="00000000" w:rsidRPr="00000000">
              <w:rPr>
                <w:rtl w:val="0"/>
              </w:rPr>
              <w:t xml:space="preserve">The vendor has an incident response procedure implemented. </w:t>
            </w:r>
          </w:p>
        </w:tc>
        <w:tc>
          <w:tcPr/>
          <w:p w:rsidR="00000000" w:rsidDel="00000000" w:rsidP="00000000" w:rsidRDefault="00000000" w:rsidRPr="00000000" w14:paraId="000000E3">
            <w:pPr>
              <w:jc w:val="left"/>
              <w:rPr/>
            </w:pPr>
            <w:r w:rsidDel="00000000" w:rsidR="00000000" w:rsidRPr="00000000">
              <w:rPr>
                <w:rtl w:val="0"/>
              </w:rPr>
            </w:r>
          </w:p>
        </w:tc>
        <w:tc>
          <w:tcPr/>
          <w:p w:rsidR="00000000" w:rsidDel="00000000" w:rsidP="00000000" w:rsidRDefault="00000000" w:rsidRPr="00000000" w14:paraId="000000E4">
            <w:pPr>
              <w:jc w:val="left"/>
              <w:rPr/>
            </w:pPr>
            <w:r w:rsidDel="00000000" w:rsidR="00000000" w:rsidRPr="00000000">
              <w:rPr>
                <w:rtl w:val="0"/>
              </w:rPr>
            </w:r>
          </w:p>
        </w:tc>
        <w:tc>
          <w:tcPr>
            <w:gridSpan w:val="2"/>
          </w:tcPr>
          <w:p w:rsidR="00000000" w:rsidDel="00000000" w:rsidP="00000000" w:rsidRDefault="00000000" w:rsidRPr="00000000" w14:paraId="000000E5">
            <w:pPr>
              <w:jc w:val="left"/>
              <w:rPr/>
            </w:pPr>
            <w:r w:rsidDel="00000000" w:rsidR="00000000" w:rsidRPr="00000000">
              <w:rPr>
                <w:rtl w:val="0"/>
              </w:rPr>
            </w:r>
          </w:p>
        </w:tc>
        <w:tc>
          <w:tcPr>
            <w:gridSpan w:val="2"/>
          </w:tcPr>
          <w:p w:rsidR="00000000" w:rsidDel="00000000" w:rsidP="00000000" w:rsidRDefault="00000000" w:rsidRPr="00000000" w14:paraId="000000E7">
            <w:pPr>
              <w:jc w:val="left"/>
              <w:rPr/>
            </w:pPr>
            <w:r w:rsidDel="00000000" w:rsidR="00000000" w:rsidRPr="00000000">
              <w:rPr>
                <w:rtl w:val="0"/>
              </w:rPr>
            </w:r>
          </w:p>
        </w:tc>
      </w:tr>
      <w:tr>
        <w:trPr>
          <w:cantSplit w:val="0"/>
          <w:tblHeader w:val="0"/>
        </w:trPr>
        <w:tc>
          <w:tcPr/>
          <w:p w:rsidR="00000000" w:rsidDel="00000000" w:rsidP="00000000" w:rsidRDefault="00000000" w:rsidRPr="00000000" w14:paraId="000000E9">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A">
            <w:pPr>
              <w:pStyle w:val="Heading2"/>
              <w:spacing w:after="360" w:before="0" w:lineRule="auto"/>
              <w:rPr>
                <w:sz w:val="24"/>
                <w:szCs w:val="24"/>
              </w:rPr>
            </w:pPr>
            <w:bookmarkStart w:colFirst="0" w:colLast="0" w:name="_heading=h.tnp0z6ni6nq4" w:id="15"/>
            <w:bookmarkEnd w:id="15"/>
            <w:r w:rsidDel="00000000" w:rsidR="00000000" w:rsidRPr="00000000">
              <w:rPr>
                <w:sz w:val="24"/>
                <w:szCs w:val="24"/>
                <w:rtl w:val="0"/>
              </w:rPr>
              <w:t xml:space="preserve">Incident Reporting</w:t>
            </w:r>
          </w:p>
          <w:p w:rsidR="00000000" w:rsidDel="00000000" w:rsidP="00000000" w:rsidRDefault="00000000" w:rsidRPr="00000000" w14:paraId="000000EB">
            <w:pPr>
              <w:jc w:val="left"/>
              <w:rPr>
                <w:b w:val="1"/>
                <w:bCs w:val="1"/>
              </w:rPr>
            </w:pPr>
            <w:r w:rsidDel="00000000" w:rsidR="00000000" w:rsidRPr="00000000">
              <w:rPr>
                <w:rtl w:val="0"/>
              </w:rPr>
              <w:t xml:space="preserve">The vendor has a procedure in place to notify their customers of data breaches or major incidents. </w:t>
            </w:r>
            <w:r w:rsidDel="00000000" w:rsidR="00000000" w:rsidRPr="00000000">
              <w:rPr>
                <w:rtl w:val="0"/>
              </w:rPr>
            </w:r>
          </w:p>
        </w:tc>
        <w:tc>
          <w:tcPr/>
          <w:p w:rsidR="00000000" w:rsidDel="00000000" w:rsidP="00000000" w:rsidRDefault="00000000" w:rsidRPr="00000000" w14:paraId="000000EC">
            <w:pPr>
              <w:jc w:val="left"/>
              <w:rPr/>
            </w:pPr>
            <w:r w:rsidDel="00000000" w:rsidR="00000000" w:rsidRPr="00000000">
              <w:rPr>
                <w:rtl w:val="0"/>
              </w:rPr>
            </w:r>
          </w:p>
        </w:tc>
        <w:tc>
          <w:tcPr/>
          <w:p w:rsidR="00000000" w:rsidDel="00000000" w:rsidP="00000000" w:rsidRDefault="00000000" w:rsidRPr="00000000" w14:paraId="000000ED">
            <w:pPr>
              <w:jc w:val="left"/>
              <w:rPr/>
            </w:pPr>
            <w:r w:rsidDel="00000000" w:rsidR="00000000" w:rsidRPr="00000000">
              <w:rPr>
                <w:rtl w:val="0"/>
              </w:rPr>
            </w:r>
          </w:p>
        </w:tc>
        <w:tc>
          <w:tcPr>
            <w:gridSpan w:val="2"/>
          </w:tcPr>
          <w:p w:rsidR="00000000" w:rsidDel="00000000" w:rsidP="00000000" w:rsidRDefault="00000000" w:rsidRPr="00000000" w14:paraId="000000EE">
            <w:pPr>
              <w:jc w:val="left"/>
              <w:rPr/>
            </w:pPr>
            <w:r w:rsidDel="00000000" w:rsidR="00000000" w:rsidRPr="00000000">
              <w:rPr>
                <w:rtl w:val="0"/>
              </w:rPr>
            </w:r>
          </w:p>
        </w:tc>
        <w:tc>
          <w:tcPr>
            <w:gridSpan w:val="2"/>
          </w:tcPr>
          <w:p w:rsidR="00000000" w:rsidDel="00000000" w:rsidP="00000000" w:rsidRDefault="00000000" w:rsidRPr="00000000" w14:paraId="000000F0">
            <w:pPr>
              <w:jc w:val="left"/>
              <w:rPr/>
            </w:pPr>
            <w:r w:rsidDel="00000000" w:rsidR="00000000" w:rsidRPr="00000000">
              <w:rPr>
                <w:rtl w:val="0"/>
              </w:rPr>
            </w:r>
          </w:p>
        </w:tc>
      </w:tr>
      <w:tr>
        <w:trPr>
          <w:cantSplit w:val="0"/>
          <w:tblHeader w:val="0"/>
        </w:trPr>
        <w:tc>
          <w:tcPr/>
          <w:p w:rsidR="00000000" w:rsidDel="00000000" w:rsidP="00000000" w:rsidRDefault="00000000" w:rsidRPr="00000000" w14:paraId="000000F2">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3">
            <w:pPr>
              <w:pStyle w:val="Heading2"/>
              <w:spacing w:after="360" w:before="0" w:lineRule="auto"/>
              <w:rPr>
                <w:sz w:val="24"/>
                <w:szCs w:val="24"/>
              </w:rPr>
            </w:pPr>
            <w:bookmarkStart w:colFirst="0" w:colLast="0" w:name="_heading=h.cf9003sz1stn" w:id="16"/>
            <w:bookmarkEnd w:id="16"/>
            <w:r w:rsidDel="00000000" w:rsidR="00000000" w:rsidRPr="00000000">
              <w:rPr>
                <w:sz w:val="24"/>
                <w:szCs w:val="24"/>
                <w:rtl w:val="0"/>
              </w:rPr>
              <w:t xml:space="preserve">Data Recovery</w:t>
            </w:r>
          </w:p>
          <w:p w:rsidR="00000000" w:rsidDel="00000000" w:rsidP="00000000" w:rsidRDefault="00000000" w:rsidRPr="00000000" w14:paraId="000000F4">
            <w:pPr>
              <w:jc w:val="left"/>
              <w:rPr/>
            </w:pPr>
            <w:r w:rsidDel="00000000" w:rsidR="00000000" w:rsidRPr="00000000">
              <w:rPr>
                <w:rtl w:val="0"/>
              </w:rPr>
              <w:t xml:space="preserve">The vendor has appropriate backup procedures and recovery plans implemented and tested.</w:t>
            </w:r>
          </w:p>
        </w:tc>
        <w:tc>
          <w:tcPr/>
          <w:p w:rsidR="00000000" w:rsidDel="00000000" w:rsidP="00000000" w:rsidRDefault="00000000" w:rsidRPr="00000000" w14:paraId="000000F5">
            <w:pPr>
              <w:jc w:val="left"/>
              <w:rPr/>
            </w:pPr>
            <w:r w:rsidDel="00000000" w:rsidR="00000000" w:rsidRPr="00000000">
              <w:rPr>
                <w:rtl w:val="0"/>
              </w:rPr>
            </w:r>
          </w:p>
        </w:tc>
        <w:tc>
          <w:tcPr/>
          <w:p w:rsidR="00000000" w:rsidDel="00000000" w:rsidP="00000000" w:rsidRDefault="00000000" w:rsidRPr="00000000" w14:paraId="000000F6">
            <w:pPr>
              <w:jc w:val="left"/>
              <w:rPr/>
            </w:pPr>
            <w:r w:rsidDel="00000000" w:rsidR="00000000" w:rsidRPr="00000000">
              <w:rPr>
                <w:rtl w:val="0"/>
              </w:rPr>
            </w:r>
          </w:p>
        </w:tc>
        <w:tc>
          <w:tcPr>
            <w:gridSpan w:val="2"/>
          </w:tcPr>
          <w:p w:rsidR="00000000" w:rsidDel="00000000" w:rsidP="00000000" w:rsidRDefault="00000000" w:rsidRPr="00000000" w14:paraId="000000F7">
            <w:pPr>
              <w:jc w:val="left"/>
              <w:rPr/>
            </w:pPr>
            <w:r w:rsidDel="00000000" w:rsidR="00000000" w:rsidRPr="00000000">
              <w:rPr>
                <w:rtl w:val="0"/>
              </w:rPr>
            </w:r>
          </w:p>
        </w:tc>
        <w:tc>
          <w:tcPr>
            <w:gridSpan w:val="2"/>
          </w:tcPr>
          <w:p w:rsidR="00000000" w:rsidDel="00000000" w:rsidP="00000000" w:rsidRDefault="00000000" w:rsidRPr="00000000" w14:paraId="000000F9">
            <w:pPr>
              <w:jc w:val="left"/>
              <w:rPr/>
            </w:pPr>
            <w:r w:rsidDel="00000000" w:rsidR="00000000" w:rsidRPr="00000000">
              <w:rPr>
                <w:rtl w:val="0"/>
              </w:rPr>
            </w:r>
          </w:p>
        </w:tc>
      </w:tr>
      <w:tr>
        <w:trPr>
          <w:cantSplit w:val="0"/>
          <w:tblHeader w:val="0"/>
        </w:trPr>
        <w:tc>
          <w:tcPr/>
          <w:p w:rsidR="00000000" w:rsidDel="00000000" w:rsidP="00000000" w:rsidRDefault="00000000" w:rsidRPr="00000000" w14:paraId="000000FB">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C">
            <w:pPr>
              <w:pStyle w:val="Heading2"/>
              <w:spacing w:after="360" w:before="0" w:lineRule="auto"/>
              <w:rPr>
                <w:sz w:val="24"/>
                <w:szCs w:val="24"/>
              </w:rPr>
            </w:pPr>
            <w:bookmarkStart w:colFirst="0" w:colLast="0" w:name="_heading=h.3penlqzgl6pg" w:id="17"/>
            <w:bookmarkEnd w:id="17"/>
            <w:r w:rsidDel="00000000" w:rsidR="00000000" w:rsidRPr="00000000">
              <w:rPr>
                <w:sz w:val="24"/>
                <w:szCs w:val="24"/>
                <w:rtl w:val="0"/>
              </w:rPr>
              <w:t xml:space="preserve">Access Control</w:t>
            </w:r>
          </w:p>
          <w:p w:rsidR="00000000" w:rsidDel="00000000" w:rsidP="00000000" w:rsidRDefault="00000000" w:rsidRPr="00000000" w14:paraId="000000FD">
            <w:pPr>
              <w:jc w:val="left"/>
              <w:rPr/>
            </w:pPr>
            <w:r w:rsidDel="00000000" w:rsidR="00000000" w:rsidRPr="00000000">
              <w:rPr>
                <w:rtl w:val="0"/>
              </w:rPr>
              <w:t xml:space="preserve">The vendor ensures that their services support role-based access control and Azure AD SSO.</w:t>
            </w:r>
          </w:p>
        </w:tc>
        <w:tc>
          <w:tcPr/>
          <w:p w:rsidR="00000000" w:rsidDel="00000000" w:rsidP="00000000" w:rsidRDefault="00000000" w:rsidRPr="00000000" w14:paraId="000000FE">
            <w:pPr>
              <w:jc w:val="left"/>
              <w:rPr/>
            </w:pPr>
            <w:r w:rsidDel="00000000" w:rsidR="00000000" w:rsidRPr="00000000">
              <w:rPr>
                <w:rtl w:val="0"/>
              </w:rPr>
            </w:r>
          </w:p>
        </w:tc>
        <w:tc>
          <w:tcPr/>
          <w:p w:rsidR="00000000" w:rsidDel="00000000" w:rsidP="00000000" w:rsidRDefault="00000000" w:rsidRPr="00000000" w14:paraId="000000FF">
            <w:pPr>
              <w:jc w:val="left"/>
              <w:rPr/>
            </w:pPr>
            <w:r w:rsidDel="00000000" w:rsidR="00000000" w:rsidRPr="00000000">
              <w:rPr>
                <w:rtl w:val="0"/>
              </w:rPr>
            </w:r>
          </w:p>
        </w:tc>
        <w:tc>
          <w:tcPr>
            <w:gridSpan w:val="2"/>
          </w:tcPr>
          <w:p w:rsidR="00000000" w:rsidDel="00000000" w:rsidP="00000000" w:rsidRDefault="00000000" w:rsidRPr="00000000" w14:paraId="00000100">
            <w:pPr>
              <w:jc w:val="left"/>
              <w:rPr/>
            </w:pPr>
            <w:r w:rsidDel="00000000" w:rsidR="00000000" w:rsidRPr="00000000">
              <w:rPr>
                <w:rtl w:val="0"/>
              </w:rPr>
            </w:r>
          </w:p>
        </w:tc>
        <w:tc>
          <w:tcPr>
            <w:gridSpan w:val="2"/>
          </w:tcPr>
          <w:p w:rsidR="00000000" w:rsidDel="00000000" w:rsidP="00000000" w:rsidRDefault="00000000" w:rsidRPr="00000000" w14:paraId="00000102">
            <w:pPr>
              <w:jc w:val="left"/>
              <w:rPr/>
            </w:pPr>
            <w:r w:rsidDel="00000000" w:rsidR="00000000" w:rsidRPr="00000000">
              <w:rPr>
                <w:rtl w:val="0"/>
              </w:rPr>
            </w:r>
          </w:p>
        </w:tc>
      </w:tr>
      <w:tr>
        <w:trPr>
          <w:cantSplit w:val="0"/>
          <w:tblHeader w:val="0"/>
        </w:trPr>
        <w:tc>
          <w:tcPr/>
          <w:p w:rsidR="00000000" w:rsidDel="00000000" w:rsidP="00000000" w:rsidRDefault="00000000" w:rsidRPr="00000000" w14:paraId="00000104">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05">
            <w:pPr>
              <w:pStyle w:val="Heading2"/>
              <w:spacing w:after="360" w:before="0" w:lineRule="auto"/>
              <w:rPr>
                <w:sz w:val="24"/>
                <w:szCs w:val="24"/>
              </w:rPr>
            </w:pPr>
            <w:bookmarkStart w:colFirst="0" w:colLast="0" w:name="_heading=h.o2m1xpgm5045" w:id="18"/>
            <w:bookmarkEnd w:id="18"/>
            <w:r w:rsidDel="00000000" w:rsidR="00000000" w:rsidRPr="00000000">
              <w:rPr>
                <w:sz w:val="24"/>
                <w:szCs w:val="24"/>
                <w:rtl w:val="0"/>
              </w:rPr>
              <w:t xml:space="preserve">Data Encryption</w:t>
            </w:r>
          </w:p>
          <w:p w:rsidR="00000000" w:rsidDel="00000000" w:rsidP="00000000" w:rsidRDefault="00000000" w:rsidRPr="00000000" w14:paraId="00000106">
            <w:pPr>
              <w:jc w:val="left"/>
              <w:rPr/>
            </w:pPr>
            <w:r w:rsidDel="00000000" w:rsidR="00000000" w:rsidRPr="00000000">
              <w:rPr>
                <w:rtl w:val="0"/>
              </w:rPr>
              <w:t xml:space="preserve">The vendor has an established method of encrypting sensitive data when necessary, both for data at rest and in transit.</w:t>
            </w:r>
          </w:p>
        </w:tc>
        <w:tc>
          <w:tcPr/>
          <w:p w:rsidR="00000000" w:rsidDel="00000000" w:rsidP="00000000" w:rsidRDefault="00000000" w:rsidRPr="00000000" w14:paraId="00000107">
            <w:pPr>
              <w:jc w:val="left"/>
              <w:rPr/>
            </w:pPr>
            <w:r w:rsidDel="00000000" w:rsidR="00000000" w:rsidRPr="00000000">
              <w:rPr>
                <w:rtl w:val="0"/>
              </w:rPr>
            </w:r>
          </w:p>
        </w:tc>
        <w:tc>
          <w:tcPr/>
          <w:p w:rsidR="00000000" w:rsidDel="00000000" w:rsidP="00000000" w:rsidRDefault="00000000" w:rsidRPr="00000000" w14:paraId="00000108">
            <w:pPr>
              <w:jc w:val="left"/>
              <w:rPr/>
            </w:pPr>
            <w:r w:rsidDel="00000000" w:rsidR="00000000" w:rsidRPr="00000000">
              <w:rPr>
                <w:rtl w:val="0"/>
              </w:rPr>
            </w:r>
          </w:p>
        </w:tc>
        <w:tc>
          <w:tcPr>
            <w:gridSpan w:val="2"/>
          </w:tcPr>
          <w:p w:rsidR="00000000" w:rsidDel="00000000" w:rsidP="00000000" w:rsidRDefault="00000000" w:rsidRPr="00000000" w14:paraId="00000109">
            <w:pPr>
              <w:jc w:val="left"/>
              <w:rPr/>
            </w:pPr>
            <w:r w:rsidDel="00000000" w:rsidR="00000000" w:rsidRPr="00000000">
              <w:rPr>
                <w:rtl w:val="0"/>
              </w:rPr>
            </w:r>
          </w:p>
        </w:tc>
        <w:tc>
          <w:tcPr>
            <w:gridSpan w:val="2"/>
          </w:tcPr>
          <w:p w:rsidR="00000000" w:rsidDel="00000000" w:rsidP="00000000" w:rsidRDefault="00000000" w:rsidRPr="00000000" w14:paraId="0000010B">
            <w:pPr>
              <w:jc w:val="left"/>
              <w:rPr/>
            </w:pPr>
            <w:r w:rsidDel="00000000" w:rsidR="00000000" w:rsidRPr="00000000">
              <w:rPr>
                <w:rtl w:val="0"/>
              </w:rPr>
            </w:r>
          </w:p>
        </w:tc>
      </w:tr>
      <w:tr>
        <w:trPr>
          <w:cantSplit w:val="0"/>
          <w:tblHeader w:val="0"/>
        </w:trPr>
        <w:tc>
          <w:tcPr/>
          <w:p w:rsidR="00000000" w:rsidDel="00000000" w:rsidP="00000000" w:rsidRDefault="00000000" w:rsidRPr="00000000" w14:paraId="0000010D">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0E">
            <w:pPr>
              <w:pStyle w:val="Heading2"/>
              <w:spacing w:after="360" w:before="0" w:lineRule="auto"/>
              <w:rPr>
                <w:sz w:val="24"/>
                <w:szCs w:val="24"/>
              </w:rPr>
            </w:pPr>
            <w:bookmarkStart w:colFirst="0" w:colLast="0" w:name="_heading=h.acdqdqlymjn3" w:id="19"/>
            <w:bookmarkEnd w:id="19"/>
            <w:r w:rsidDel="00000000" w:rsidR="00000000" w:rsidRPr="00000000">
              <w:rPr>
                <w:sz w:val="24"/>
                <w:szCs w:val="24"/>
                <w:rtl w:val="0"/>
              </w:rPr>
              <w:t xml:space="preserve">Change Management</w:t>
            </w:r>
          </w:p>
          <w:p w:rsidR="00000000" w:rsidDel="00000000" w:rsidP="00000000" w:rsidRDefault="00000000" w:rsidRPr="00000000" w14:paraId="0000010F">
            <w:pPr>
              <w:jc w:val="left"/>
              <w:rPr/>
            </w:pPr>
            <w:r w:rsidDel="00000000" w:rsidR="00000000" w:rsidRPr="00000000">
              <w:rPr>
                <w:rtl w:val="0"/>
              </w:rPr>
              <w:t xml:space="preserve">The vendor ensures that changes of the service are controlled through a formal documented process.</w:t>
            </w:r>
          </w:p>
        </w:tc>
        <w:tc>
          <w:tcPr/>
          <w:p w:rsidR="00000000" w:rsidDel="00000000" w:rsidP="00000000" w:rsidRDefault="00000000" w:rsidRPr="00000000" w14:paraId="00000110">
            <w:pPr>
              <w:jc w:val="left"/>
              <w:rPr/>
            </w:pPr>
            <w:r w:rsidDel="00000000" w:rsidR="00000000" w:rsidRPr="00000000">
              <w:rPr>
                <w:rtl w:val="0"/>
              </w:rPr>
            </w:r>
          </w:p>
        </w:tc>
        <w:tc>
          <w:tcPr/>
          <w:p w:rsidR="00000000" w:rsidDel="00000000" w:rsidP="00000000" w:rsidRDefault="00000000" w:rsidRPr="00000000" w14:paraId="00000111">
            <w:pPr>
              <w:jc w:val="left"/>
              <w:rPr/>
            </w:pPr>
            <w:r w:rsidDel="00000000" w:rsidR="00000000" w:rsidRPr="00000000">
              <w:rPr>
                <w:rtl w:val="0"/>
              </w:rPr>
            </w:r>
          </w:p>
        </w:tc>
        <w:tc>
          <w:tcPr>
            <w:gridSpan w:val="2"/>
          </w:tcPr>
          <w:p w:rsidR="00000000" w:rsidDel="00000000" w:rsidP="00000000" w:rsidRDefault="00000000" w:rsidRPr="00000000" w14:paraId="00000112">
            <w:pPr>
              <w:jc w:val="left"/>
              <w:rPr/>
            </w:pPr>
            <w:r w:rsidDel="00000000" w:rsidR="00000000" w:rsidRPr="00000000">
              <w:rPr>
                <w:rtl w:val="0"/>
              </w:rPr>
            </w:r>
          </w:p>
        </w:tc>
        <w:tc>
          <w:tcPr>
            <w:gridSpan w:val="2"/>
          </w:tcPr>
          <w:p w:rsidR="00000000" w:rsidDel="00000000" w:rsidP="00000000" w:rsidRDefault="00000000" w:rsidRPr="00000000" w14:paraId="00000114">
            <w:pPr>
              <w:jc w:val="left"/>
              <w:rPr/>
            </w:pPr>
            <w:r w:rsidDel="00000000" w:rsidR="00000000" w:rsidRPr="00000000">
              <w:rPr>
                <w:rtl w:val="0"/>
              </w:rPr>
            </w:r>
          </w:p>
        </w:tc>
      </w:tr>
      <w:tr>
        <w:trPr>
          <w:cantSplit w:val="0"/>
          <w:tblHeader w:val="0"/>
        </w:trPr>
        <w:tc>
          <w:tcPr/>
          <w:p w:rsidR="00000000" w:rsidDel="00000000" w:rsidP="00000000" w:rsidRDefault="00000000" w:rsidRPr="00000000" w14:paraId="00000116">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17">
            <w:pPr>
              <w:pStyle w:val="Heading2"/>
              <w:spacing w:after="360" w:before="0" w:lineRule="auto"/>
              <w:rPr>
                <w:sz w:val="24"/>
                <w:szCs w:val="24"/>
              </w:rPr>
            </w:pPr>
            <w:bookmarkStart w:colFirst="0" w:colLast="0" w:name="_heading=h.7hh09y993bqv" w:id="20"/>
            <w:bookmarkEnd w:id="20"/>
            <w:r w:rsidDel="00000000" w:rsidR="00000000" w:rsidRPr="00000000">
              <w:rPr>
                <w:sz w:val="24"/>
                <w:szCs w:val="24"/>
                <w:rtl w:val="0"/>
              </w:rPr>
              <w:t xml:space="preserve">Separation of Environments</w:t>
            </w:r>
          </w:p>
          <w:p w:rsidR="00000000" w:rsidDel="00000000" w:rsidP="00000000" w:rsidRDefault="00000000" w:rsidRPr="00000000" w14:paraId="00000118">
            <w:pPr>
              <w:jc w:val="left"/>
              <w:rPr>
                <w:b w:val="1"/>
                <w:bCs w:val="1"/>
              </w:rPr>
            </w:pPr>
            <w:r w:rsidDel="00000000" w:rsidR="00000000" w:rsidRPr="00000000">
              <w:rPr>
                <w:rtl w:val="0"/>
              </w:rPr>
              <w:t xml:space="preserve">The vendor ensures that production and test environments are kept separate.</w:t>
            </w:r>
            <w:r w:rsidDel="00000000" w:rsidR="00000000" w:rsidRPr="00000000">
              <w:rPr>
                <w:rtl w:val="0"/>
              </w:rPr>
            </w:r>
          </w:p>
        </w:tc>
        <w:tc>
          <w:tcPr/>
          <w:p w:rsidR="00000000" w:rsidDel="00000000" w:rsidP="00000000" w:rsidRDefault="00000000" w:rsidRPr="00000000" w14:paraId="00000119">
            <w:pPr>
              <w:jc w:val="left"/>
              <w:rPr/>
            </w:pPr>
            <w:r w:rsidDel="00000000" w:rsidR="00000000" w:rsidRPr="00000000">
              <w:rPr>
                <w:rtl w:val="0"/>
              </w:rPr>
            </w:r>
          </w:p>
        </w:tc>
        <w:tc>
          <w:tcPr/>
          <w:p w:rsidR="00000000" w:rsidDel="00000000" w:rsidP="00000000" w:rsidRDefault="00000000" w:rsidRPr="00000000" w14:paraId="0000011A">
            <w:pPr>
              <w:jc w:val="left"/>
              <w:rPr/>
            </w:pPr>
            <w:r w:rsidDel="00000000" w:rsidR="00000000" w:rsidRPr="00000000">
              <w:rPr>
                <w:rtl w:val="0"/>
              </w:rPr>
            </w:r>
          </w:p>
        </w:tc>
        <w:tc>
          <w:tcPr>
            <w:gridSpan w:val="2"/>
          </w:tcPr>
          <w:p w:rsidR="00000000" w:rsidDel="00000000" w:rsidP="00000000" w:rsidRDefault="00000000" w:rsidRPr="00000000" w14:paraId="0000011B">
            <w:pPr>
              <w:jc w:val="left"/>
              <w:rPr/>
            </w:pPr>
            <w:r w:rsidDel="00000000" w:rsidR="00000000" w:rsidRPr="00000000">
              <w:rPr>
                <w:rtl w:val="0"/>
              </w:rPr>
            </w:r>
          </w:p>
        </w:tc>
        <w:tc>
          <w:tcPr>
            <w:gridSpan w:val="2"/>
          </w:tcPr>
          <w:p w:rsidR="00000000" w:rsidDel="00000000" w:rsidP="00000000" w:rsidRDefault="00000000" w:rsidRPr="00000000" w14:paraId="0000011D">
            <w:pPr>
              <w:jc w:val="left"/>
              <w:rPr/>
            </w:pPr>
            <w:r w:rsidDel="00000000" w:rsidR="00000000" w:rsidRPr="00000000">
              <w:rPr>
                <w:rtl w:val="0"/>
              </w:rPr>
            </w:r>
          </w:p>
        </w:tc>
      </w:tr>
      <w:tr>
        <w:trPr>
          <w:cantSplit w:val="0"/>
          <w:tblHeader w:val="0"/>
        </w:trPr>
        <w:tc>
          <w:tcPr/>
          <w:p w:rsidR="00000000" w:rsidDel="00000000" w:rsidP="00000000" w:rsidRDefault="00000000" w:rsidRPr="00000000" w14:paraId="0000011F">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0">
            <w:pPr>
              <w:pStyle w:val="Heading2"/>
              <w:spacing w:after="360" w:before="0" w:lineRule="auto"/>
              <w:rPr>
                <w:sz w:val="24"/>
                <w:szCs w:val="24"/>
              </w:rPr>
            </w:pPr>
            <w:bookmarkStart w:colFirst="0" w:colLast="0" w:name="_heading=h.m7pg0tfsa0ni" w:id="21"/>
            <w:bookmarkEnd w:id="21"/>
            <w:r w:rsidDel="00000000" w:rsidR="00000000" w:rsidRPr="00000000">
              <w:rPr>
                <w:sz w:val="24"/>
                <w:szCs w:val="24"/>
                <w:rtl w:val="0"/>
              </w:rPr>
              <w:t xml:space="preserve">Segregation of Customer Data </w:t>
            </w:r>
          </w:p>
          <w:p w:rsidR="00000000" w:rsidDel="00000000" w:rsidP="00000000" w:rsidRDefault="00000000" w:rsidRPr="00000000" w14:paraId="00000121">
            <w:pPr>
              <w:jc w:val="left"/>
              <w:rPr/>
            </w:pPr>
            <w:r w:rsidDel="00000000" w:rsidR="00000000" w:rsidRPr="00000000">
              <w:rPr>
                <w:rtl w:val="0"/>
              </w:rPr>
              <w:t xml:space="preserve">The vendor has an appropriate segregation of customer data in place, if stored in a multi-tenanted environment.</w:t>
            </w:r>
          </w:p>
        </w:tc>
        <w:tc>
          <w:tcPr/>
          <w:p w:rsidR="00000000" w:rsidDel="00000000" w:rsidP="00000000" w:rsidRDefault="00000000" w:rsidRPr="00000000" w14:paraId="00000122">
            <w:pPr>
              <w:jc w:val="left"/>
              <w:rPr/>
            </w:pPr>
            <w:r w:rsidDel="00000000" w:rsidR="00000000" w:rsidRPr="00000000">
              <w:rPr>
                <w:rtl w:val="0"/>
              </w:rPr>
            </w:r>
          </w:p>
        </w:tc>
        <w:tc>
          <w:tcPr/>
          <w:p w:rsidR="00000000" w:rsidDel="00000000" w:rsidP="00000000" w:rsidRDefault="00000000" w:rsidRPr="00000000" w14:paraId="00000123">
            <w:pPr>
              <w:jc w:val="left"/>
              <w:rPr/>
            </w:pPr>
            <w:r w:rsidDel="00000000" w:rsidR="00000000" w:rsidRPr="00000000">
              <w:rPr>
                <w:rtl w:val="0"/>
              </w:rPr>
            </w:r>
          </w:p>
        </w:tc>
        <w:tc>
          <w:tcPr>
            <w:gridSpan w:val="2"/>
          </w:tcPr>
          <w:p w:rsidR="00000000" w:rsidDel="00000000" w:rsidP="00000000" w:rsidRDefault="00000000" w:rsidRPr="00000000" w14:paraId="00000124">
            <w:pPr>
              <w:jc w:val="left"/>
              <w:rPr/>
            </w:pPr>
            <w:r w:rsidDel="00000000" w:rsidR="00000000" w:rsidRPr="00000000">
              <w:rPr>
                <w:rtl w:val="0"/>
              </w:rPr>
            </w:r>
          </w:p>
        </w:tc>
        <w:tc>
          <w:tcPr>
            <w:gridSpan w:val="2"/>
          </w:tcPr>
          <w:p w:rsidR="00000000" w:rsidDel="00000000" w:rsidP="00000000" w:rsidRDefault="00000000" w:rsidRPr="00000000" w14:paraId="00000126">
            <w:pPr>
              <w:jc w:val="left"/>
              <w:rPr/>
            </w:pPr>
            <w:r w:rsidDel="00000000" w:rsidR="00000000" w:rsidRPr="00000000">
              <w:rPr>
                <w:rtl w:val="0"/>
              </w:rPr>
            </w:r>
          </w:p>
        </w:tc>
      </w:tr>
      <w:tr>
        <w:trPr>
          <w:cantSplit w:val="0"/>
          <w:trHeight w:val="695" w:hRule="atLeast"/>
          <w:tblHeader w:val="0"/>
        </w:trPr>
        <w:tc>
          <w:tcPr/>
          <w:p w:rsidR="00000000" w:rsidDel="00000000" w:rsidP="00000000" w:rsidRDefault="00000000" w:rsidRPr="00000000" w14:paraId="00000128">
            <w:pPr>
              <w:numPr>
                <w:ilvl w:val="0"/>
                <w:numId w:val="11"/>
              </w:numPr>
              <w:spacing w:after="160" w:line="259" w:lineRule="auto"/>
              <w:ind w:left="360" w:hanging="36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9">
            <w:pPr>
              <w:pStyle w:val="Heading2"/>
              <w:spacing w:after="360" w:before="0" w:lineRule="auto"/>
              <w:rPr>
                <w:sz w:val="24"/>
                <w:szCs w:val="24"/>
              </w:rPr>
            </w:pPr>
            <w:bookmarkStart w:colFirst="0" w:colLast="0" w:name="_heading=h.xvznfrg6q7ks" w:id="22"/>
            <w:bookmarkEnd w:id="22"/>
            <w:r w:rsidDel="00000000" w:rsidR="00000000" w:rsidRPr="00000000">
              <w:rPr>
                <w:sz w:val="24"/>
                <w:szCs w:val="24"/>
                <w:rtl w:val="0"/>
              </w:rPr>
              <w:t xml:space="preserve">Physical Security</w:t>
            </w:r>
          </w:p>
          <w:p w:rsidR="00000000" w:rsidDel="00000000" w:rsidP="00000000" w:rsidRDefault="00000000" w:rsidRPr="00000000" w14:paraId="0000012A">
            <w:pPr>
              <w:jc w:val="left"/>
              <w:rPr/>
            </w:pPr>
            <w:r w:rsidDel="00000000" w:rsidR="00000000" w:rsidRPr="00000000">
              <w:rPr>
                <w:rtl w:val="0"/>
              </w:rPr>
              <w:t xml:space="preserve">The vendor has access control and physical security of its premises.</w:t>
            </w:r>
          </w:p>
        </w:tc>
        <w:tc>
          <w:tcPr/>
          <w:p w:rsidR="00000000" w:rsidDel="00000000" w:rsidP="00000000" w:rsidRDefault="00000000" w:rsidRPr="00000000" w14:paraId="0000012B">
            <w:pPr>
              <w:jc w:val="left"/>
              <w:rPr/>
            </w:pPr>
            <w:r w:rsidDel="00000000" w:rsidR="00000000" w:rsidRPr="00000000">
              <w:rPr>
                <w:rtl w:val="0"/>
              </w:rPr>
            </w:r>
          </w:p>
        </w:tc>
        <w:tc>
          <w:tcPr/>
          <w:p w:rsidR="00000000" w:rsidDel="00000000" w:rsidP="00000000" w:rsidRDefault="00000000" w:rsidRPr="00000000" w14:paraId="0000012C">
            <w:pPr>
              <w:jc w:val="left"/>
              <w:rPr/>
            </w:pPr>
            <w:r w:rsidDel="00000000" w:rsidR="00000000" w:rsidRPr="00000000">
              <w:rPr>
                <w:rtl w:val="0"/>
              </w:rPr>
            </w:r>
          </w:p>
        </w:tc>
        <w:tc>
          <w:tcPr>
            <w:gridSpan w:val="2"/>
          </w:tcPr>
          <w:p w:rsidR="00000000" w:rsidDel="00000000" w:rsidP="00000000" w:rsidRDefault="00000000" w:rsidRPr="00000000" w14:paraId="0000012D">
            <w:pPr>
              <w:jc w:val="left"/>
              <w:rPr/>
            </w:pPr>
            <w:r w:rsidDel="00000000" w:rsidR="00000000" w:rsidRPr="00000000">
              <w:rPr>
                <w:rtl w:val="0"/>
              </w:rPr>
            </w:r>
          </w:p>
        </w:tc>
        <w:tc>
          <w:tcPr>
            <w:gridSpan w:val="2"/>
          </w:tcPr>
          <w:p w:rsidR="00000000" w:rsidDel="00000000" w:rsidP="00000000" w:rsidRDefault="00000000" w:rsidRPr="00000000" w14:paraId="0000012F">
            <w:pPr>
              <w:jc w:val="left"/>
              <w:rPr/>
            </w:pPr>
            <w:r w:rsidDel="00000000" w:rsidR="00000000" w:rsidRPr="00000000">
              <w:rPr>
                <w:rtl w:val="0"/>
              </w:rPr>
            </w:r>
          </w:p>
        </w:tc>
      </w:tr>
    </w:tbl>
    <w:p w:rsidR="00000000" w:rsidDel="00000000" w:rsidP="00000000" w:rsidRDefault="00000000" w:rsidRPr="00000000" w14:paraId="00000131">
      <w:pPr>
        <w:keepNext w:val="1"/>
        <w:keepLines w:val="1"/>
        <w:pageBreakBefore w:val="1"/>
        <w:spacing w:after="360" w:before="360" w:line="259" w:lineRule="auto"/>
        <w:rPr>
          <w:rFonts w:ascii="Times New Roman" w:cs="Times New Roman" w:eastAsia="Times New Roman" w:hAnsi="Times New Roman"/>
          <w:b w:val="1"/>
          <w:bCs w:val="1"/>
          <w:smallCaps w:val="1"/>
          <w:u w:val="single"/>
        </w:rPr>
      </w:pPr>
      <w:r w:rsidDel="00000000" w:rsidR="00000000" w:rsidRPr="00000000">
        <w:rPr>
          <w:rFonts w:ascii="Times New Roman" w:cs="Times New Roman" w:eastAsia="Times New Roman" w:hAnsi="Times New Roman"/>
          <w:b w:val="1"/>
          <w:bCs w:val="1"/>
          <w:smallCaps w:val="1"/>
          <w:u w:val="single"/>
          <w:rtl w:val="0"/>
        </w:rPr>
        <w:t xml:space="preserve">ANNEX IV: LIST OF SUB-PROCESSORS</w:t>
      </w:r>
    </w:p>
    <w:p w:rsidR="00000000" w:rsidDel="00000000" w:rsidP="00000000" w:rsidRDefault="00000000" w:rsidRPr="00000000" w14:paraId="0000013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EXPLANATORY NOTE: </w:t>
      </w:r>
    </w:p>
    <w:p w:rsidR="00000000" w:rsidDel="00000000" w:rsidP="00000000" w:rsidRDefault="00000000" w:rsidRPr="00000000" w14:paraId="0000013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Annex needs to be completed in case of specific authorisation of sub-processors (Clause 7.7(a), Option 1). </w:t>
      </w:r>
    </w:p>
    <w:p w:rsidR="00000000" w:rsidDel="00000000" w:rsidP="00000000" w:rsidRDefault="00000000" w:rsidRPr="00000000" w14:paraId="0000013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controller has authorised the use of the following sub-processors: </w:t>
      </w:r>
    </w:p>
    <w:p w:rsidR="00000000" w:rsidDel="00000000" w:rsidP="00000000" w:rsidRDefault="00000000" w:rsidRPr="00000000" w14:paraId="0000013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w:t>
      </w:r>
    </w:p>
    <w:p w:rsidR="00000000" w:rsidDel="00000000" w:rsidP="00000000" w:rsidRDefault="00000000" w:rsidRPr="00000000" w14:paraId="0000013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Address: …</w:t>
      </w:r>
    </w:p>
    <w:p w:rsidR="00000000" w:rsidDel="00000000" w:rsidP="00000000" w:rsidRDefault="00000000" w:rsidRPr="00000000" w14:paraId="00000137">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person’s name, position and contact details: …</w:t>
      </w:r>
    </w:p>
    <w:p w:rsidR="00000000" w:rsidDel="00000000" w:rsidP="00000000" w:rsidRDefault="00000000" w:rsidRPr="00000000" w14:paraId="0000013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Description of the processing (including a clear delimitation of responsibilities in case several sub-processors are authorised): …</w:t>
      </w:r>
    </w:p>
    <w:p w:rsidR="00000000" w:rsidDel="00000000" w:rsidP="00000000" w:rsidRDefault="00000000" w:rsidRPr="00000000" w14:paraId="0000013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p>
    <w:p w:rsidR="00000000" w:rsidDel="00000000" w:rsidP="00000000" w:rsidRDefault="00000000" w:rsidRPr="00000000" w14:paraId="0000013A">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284" w:top="1418" w:left="1559" w:right="1559" w:header="851" w:footer="28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ourier New"/>
  <w:font w:name="Play">
    <w:embedRegular w:fontKey="{00000000-0000-0000-0000-000000000000}" r:id="rId1" w:subsetted="0"/>
    <w:embedBold w:fontKey="{00000000-0000-0000-0000-000000000000}" r:id="rId2" w:subsetted="0"/>
  </w:font>
  <w:font w:name="LFT Etica Bk"/>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Side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av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44">
    <w:pPr>
      <w:rPr>
        <w:rFonts w:ascii="Calibri" w:cs="Calibri" w:eastAsia="Calibri" w:hAnsi="Calibri"/>
        <w:b w:val="0"/>
        <w:bCs w:val="0"/>
        <w:i w:val="0"/>
        <w:iCs w:val="0"/>
        <w:smallCaps w:val="0"/>
        <w:strike w:val="0"/>
        <w:color w:val="000000"/>
        <w:sz w:val="12"/>
        <w:szCs w:val="12"/>
        <w:u w:val="none"/>
        <w:shd w:fill="auto" w:val="clear"/>
        <w:vertAlign w:val="baseline"/>
      </w:rPr>
    </w:pPr>
    <w:r w:rsidDel="00000000" w:rsidR="00000000" w:rsidRPr="00000000">
      <w:rPr>
        <w:b w:val="1"/>
        <w:bCs w:val="1"/>
        <w:sz w:val="18"/>
        <w:szCs w:val="18"/>
        <w:rtl w:val="0"/>
      </w:rPr>
      <w:t xml:space="preserve">Data Processing Agreement </w:t>
    </w: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7">
    <w:pPr>
      <w:rPr>
        <w:rFonts w:ascii="Calibri" w:cs="Calibri" w:eastAsia="Calibri" w:hAnsi="Calibri"/>
        <w:b w:val="0"/>
        <w:bCs w:val="0"/>
        <w:i w:val="0"/>
        <w:iCs w:val="0"/>
        <w:smallCaps w:val="0"/>
        <w:strike w:val="0"/>
        <w:color w:val="000000"/>
        <w:sz w:val="12"/>
        <w:szCs w:val="12"/>
        <w:u w:val="none"/>
        <w:shd w:fill="auto" w:val="clear"/>
        <w:vertAlign w:val="baseline"/>
      </w:rPr>
    </w:pPr>
    <w:r w:rsidDel="00000000" w:rsidR="00000000" w:rsidRPr="00000000">
      <w:rPr>
        <w:b w:val="1"/>
        <w:bCs w:val="1"/>
        <w:sz w:val="18"/>
        <w:szCs w:val="18"/>
        <w:rtl w:val="0"/>
      </w:rPr>
      <w:t xml:space="preserve">Data Processing Agreement </w:t>
    </w:r>
    <w:r w:rsidDel="00000000" w:rsidR="00000000" w:rsidRPr="00000000">
      <w:rPr>
        <w:rtl w:val="0"/>
      </w:rPr>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jc w:val="right"/>
      <w:rPr>
        <w:b w:val="1"/>
        <w:bCs w:val="1"/>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5126990</wp:posOffset>
              </wp:positionH>
              <wp:positionV relativeFrom="paragraph">
                <wp:posOffset>-8887</wp:posOffset>
              </wp:positionV>
              <wp:extent cx="462915" cy="462915"/>
              <wp:effectExtent b="0" l="0" r="0" t="0"/>
              <wp:wrapSquare wrapText="bothSides" distB="0" distT="0" distL="0" distR="0"/>
              <wp:docPr descr="Begrenset" id="1"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ff0000"/>
                              <w:sz w:val="22"/>
                              <w:vertAlign w:val="baseline"/>
                            </w:rPr>
                            <w:t xml:space="preserve">Begrenset</w:t>
                          </w:r>
                        </w:p>
                      </w:txbxContent>
                    </wps:txbx>
                    <wps:bodyPr anchorCtr="0" anchor="t" bIns="0" lIns="0" spcFirstLastPara="1" rIns="635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5126990</wp:posOffset>
              </wp:positionH>
              <wp:positionV relativeFrom="paragraph">
                <wp:posOffset>-8887</wp:posOffset>
              </wp:positionV>
              <wp:extent cx="462915" cy="462915"/>
              <wp:effectExtent b="0" l="0" r="0" t="0"/>
              <wp:wrapSquare wrapText="bothSides" distB="0" distT="0" distL="0" distR="0"/>
              <wp:docPr descr="Begrenset" id="1" name="image1.png"/>
              <a:graphic>
                <a:graphicData uri="http://schemas.openxmlformats.org/drawingml/2006/picture">
                  <pic:pic>
                    <pic:nvPicPr>
                      <pic:cNvPr descr="Begrenset" id="0" name="image1.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7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6">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7">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8">
    <w:lvl w:ilvl="0">
      <w:start w:val="1"/>
      <w:numFmt w:val="lowerLetter"/>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9">
    <w:lvl w:ilvl="0">
      <w:start w:val="1"/>
      <w:numFmt w:val="lowerLetter"/>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0">
    <w:lvl w:ilvl="0">
      <w:start w:val="1"/>
      <w:numFmt w:val="lowerLetter"/>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1">
    <w:lvl w:ilvl="0">
      <w:start w:val="6"/>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862" w:hanging="862"/>
      </w:pPr>
      <w:rPr/>
    </w:lvl>
    <w:lvl w:ilvl="1">
      <w:start w:val="1"/>
      <w:numFmt w:val="decimal"/>
      <w:lvlText w:val="%1.%2."/>
      <w:lvlJc w:val="left"/>
      <w:pPr>
        <w:ind w:left="862" w:hanging="862"/>
      </w:pPr>
      <w:rPr/>
    </w:lvl>
    <w:lvl w:ilvl="2">
      <w:start w:val="1"/>
      <w:numFmt w:val="decimal"/>
      <w:lvlText w:val="%1.%2.%3."/>
      <w:lvlJc w:val="left"/>
      <w:pPr>
        <w:ind w:left="862" w:hanging="862"/>
      </w:pPr>
      <w:rPr/>
    </w:lvl>
    <w:lvl w:ilvl="3">
      <w:start w:val="1"/>
      <w:numFmt w:val="decimal"/>
      <w:lvlText w:val="%1.%2.%3.%4."/>
      <w:lvlJc w:val="left"/>
      <w:pPr>
        <w:ind w:left="862" w:hanging="862"/>
      </w:pPr>
      <w:rPr/>
    </w:lvl>
    <w:lvl w:ilvl="4">
      <w:start w:val="1"/>
      <w:numFmt w:val="decimal"/>
      <w:lvlText w:val="%1.%2.%3.%4.%5."/>
      <w:lvlJc w:val="left"/>
      <w:pPr>
        <w:ind w:left="862" w:hanging="862"/>
      </w:pPr>
      <w:rPr/>
    </w:lvl>
    <w:lvl w:ilvl="5">
      <w:start w:val="1"/>
      <w:numFmt w:val="decimal"/>
      <w:lvlText w:val="%1.%2.%3.%4.%5.%6."/>
      <w:lvlJc w:val="left"/>
      <w:pPr>
        <w:ind w:left="862" w:hanging="862"/>
      </w:pPr>
      <w:rPr/>
    </w:lvl>
    <w:lvl w:ilvl="6">
      <w:start w:val="1"/>
      <w:numFmt w:val="decimal"/>
      <w:lvlText w:val="%1.%2.%3.%4.%5.%6.%7."/>
      <w:lvlJc w:val="left"/>
      <w:pPr>
        <w:ind w:left="862" w:hanging="862"/>
      </w:pPr>
      <w:rPr/>
    </w:lvl>
    <w:lvl w:ilvl="7">
      <w:start w:val="1"/>
      <w:numFmt w:val="decimal"/>
      <w:lvlText w:val="%1.%2.%3.%4.%5.%6.%7.%8."/>
      <w:lvlJc w:val="left"/>
      <w:pPr>
        <w:ind w:left="862" w:hanging="862"/>
      </w:pPr>
      <w:rPr/>
    </w:lvl>
    <w:lvl w:ilvl="8">
      <w:start w:val="1"/>
      <w:numFmt w:val="decimal"/>
      <w:lvlText w:val="%1.%2.%3.%4.%5.%6.%7.%8.%9."/>
      <w:lvlJc w:val="left"/>
      <w:pPr>
        <w:ind w:left="862" w:hanging="86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ind w:left="862" w:hanging="862"/>
    </w:pPr>
    <w:rPr>
      <w:b w:val="1"/>
      <w:bCs w:val="1"/>
      <w:smallCaps w:val="1"/>
      <w:color w:val="000000"/>
    </w:rPr>
  </w:style>
  <w:style w:type="paragraph" w:styleId="Heading2">
    <w:name w:val="heading 2"/>
    <w:basedOn w:val="Normal"/>
    <w:next w:val="Normal"/>
    <w:pPr>
      <w:keepNext w:val="1"/>
      <w:keepLines w:val="1"/>
      <w:spacing w:after="120" w:before="240" w:lineRule="auto"/>
      <w:ind w:left="862" w:hanging="862"/>
    </w:pPr>
    <w:rPr>
      <w:b w:val="1"/>
      <w:bCs w:val="1"/>
      <w:smallCaps w:val="0"/>
      <w:color w:val="000000"/>
    </w:rPr>
  </w:style>
  <w:style w:type="paragraph" w:styleId="Heading3">
    <w:name w:val="heading 3"/>
    <w:basedOn w:val="Normal"/>
    <w:next w:val="Normal"/>
    <w:pPr>
      <w:keepNext w:val="1"/>
      <w:keepLines w:val="1"/>
      <w:spacing w:after="60" w:before="120" w:lineRule="auto"/>
      <w:ind w:left="862" w:hanging="862"/>
    </w:pPr>
    <w:rPr>
      <w:b w:val="0"/>
      <w:bCs w:val="0"/>
      <w:i w:val="1"/>
      <w:iCs w:val="1"/>
      <w:smallCaps w:val="0"/>
      <w:color w:val="000000"/>
    </w:rPr>
  </w:style>
  <w:style w:type="paragraph" w:styleId="Heading4">
    <w:name w:val="heading 4"/>
    <w:basedOn w:val="Normal"/>
    <w:next w:val="Normal"/>
    <w:pPr>
      <w:keepNext w:val="1"/>
      <w:keepLines w:val="1"/>
      <w:ind w:left="862" w:hanging="862"/>
    </w:pPr>
    <w:rPr>
      <w:i w:val="1"/>
      <w:i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jc w:val="both"/>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jc w:val="both"/>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X2crbfZ0JQLy2P+fboXKMgfeQ==">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0x01010021C2232612162B488612D4796FFA479F</vt:lpwstr>
  </property>
  <property fmtid="{D5CDD505-2E9C-101B-9397-08002B2CF9AE}" pid="3" name="AuthorIds_UIVersion_512">
    <vt:lpwstr>84</vt:lpwstr>
  </property>
  <property fmtid="{D5CDD505-2E9C-101B-9397-08002B2CF9AE}" pid="4" name="Order">
    <vt:lpwstr>5035100.0</vt:lpwstr>
  </property>
  <property fmtid="{D5CDD505-2E9C-101B-9397-08002B2CF9AE}" pid="5" name="xd_Signature">
    <vt:lpwstr>false</vt:lpwstr>
  </property>
  <property fmtid="{D5CDD505-2E9C-101B-9397-08002B2CF9AE}" pid="6" name="Problemstilling">
    <vt:lpwstr>Databehandleravtale</vt:lpwstr>
  </property>
  <property fmtid="{D5CDD505-2E9C-101B-9397-08002B2CF9AE}" pid="7" name="xd_ProgID">
    <vt:lpwstr>xd_ProgID</vt:lpwstr>
  </property>
  <property fmtid="{D5CDD505-2E9C-101B-9397-08002B2CF9AE}" pid="8" name="ComplianceAssetId">
    <vt:lpwstr>ComplianceAssetId</vt:lpwstr>
  </property>
  <property fmtid="{D5CDD505-2E9C-101B-9397-08002B2CF9AE}" pid="9" name="TemplateUrl">
    <vt:lpwstr>TemplateUrl</vt:lpwstr>
  </property>
  <property fmtid="{D5CDD505-2E9C-101B-9397-08002B2CF9AE}" pid="10" name="ClassificationContentMarkingHeaderShapeIds">
    <vt:lpwstr>1,2,3</vt:lpwstr>
  </property>
  <property fmtid="{D5CDD505-2E9C-101B-9397-08002B2CF9AE}" pid="11" name="ClassificationContentMarkingHeaderFontProps">
    <vt:lpwstr>#ff0000,11,Calibri</vt:lpwstr>
  </property>
  <property fmtid="{D5CDD505-2E9C-101B-9397-08002B2CF9AE}" pid="12" name="ClassificationContentMarkingHeaderText">
    <vt:lpwstr>Begrenset</vt:lpwstr>
  </property>
  <property fmtid="{D5CDD505-2E9C-101B-9397-08002B2CF9AE}" pid="13" name="MSIP_Label_a2428a7b-bf98-4d8c-ad53-1ec1f18b4146_Enabled">
    <vt:lpwstr>true</vt:lpwstr>
  </property>
  <property fmtid="{D5CDD505-2E9C-101B-9397-08002B2CF9AE}" pid="14" name="MSIP_Label_a2428a7b-bf98-4d8c-ad53-1ec1f18b4146_SetDate">
    <vt:lpwstr>2022-03-15T12:14:02Z</vt:lpwstr>
  </property>
  <property fmtid="{D5CDD505-2E9C-101B-9397-08002B2CF9AE}" pid="15" name="MSIP_Label_a2428a7b-bf98-4d8c-ad53-1ec1f18b4146_Method">
    <vt:lpwstr>Privileged</vt:lpwstr>
  </property>
  <property fmtid="{D5CDD505-2E9C-101B-9397-08002B2CF9AE}" pid="16" name="MSIP_Label_a2428a7b-bf98-4d8c-ad53-1ec1f18b4146_Name">
    <vt:lpwstr>Begrenset</vt:lpwstr>
  </property>
  <property fmtid="{D5CDD505-2E9C-101B-9397-08002B2CF9AE}" pid="17" name="MSIP_Label_a2428a7b-bf98-4d8c-ad53-1ec1f18b4146_SiteId">
    <vt:lpwstr>9d2ac018-e843-4e14-9e2b-4e0ddac75450</vt:lpwstr>
  </property>
  <property fmtid="{D5CDD505-2E9C-101B-9397-08002B2CF9AE}" pid="18" name="MSIP_Label_a2428a7b-bf98-4d8c-ad53-1ec1f18b4146_ActionId">
    <vt:lpwstr>8dbbe7b1-afe4-4a7a-9c06-0bb57d2fe581</vt:lpwstr>
  </property>
  <property fmtid="{D5CDD505-2E9C-101B-9397-08002B2CF9AE}" pid="19" name="MSIP_Label_a2428a7b-bf98-4d8c-ad53-1ec1f18b4146_ContentBits">
    <vt:lpwstr>1</vt:lpwstr>
  </property>
  <property fmtid="{D5CDD505-2E9C-101B-9397-08002B2CF9AE}" pid="20" name="SharedWithUsers">
    <vt:lpwstr>417;#Thomas Myhr</vt:lpwstr>
  </property>
  <property fmtid="{D5CDD505-2E9C-101B-9397-08002B2CF9AE}" pid="21" name="_SourceUrl">
    <vt:lpwstr>_SourceUrl</vt:lpwstr>
  </property>
  <property fmtid="{D5CDD505-2E9C-101B-9397-08002B2CF9AE}" pid="22" name="_SharedFileIndex">
    <vt:lpwstr>_SharedFileIndex</vt:lpwstr>
  </property>
  <property fmtid="{D5CDD505-2E9C-101B-9397-08002B2CF9AE}" pid="23" name="Fase">
    <vt:lpwstr>Fase 1</vt:lpwstr>
  </property>
  <property fmtid="{D5CDD505-2E9C-101B-9397-08002B2CF9AE}" pid="24" name="Dokumentstatus">
    <vt:lpwstr>Arbeidsdokument</vt:lpwstr>
  </property>
  <property fmtid="{D5CDD505-2E9C-101B-9397-08002B2CF9AE}" pid="25" name="_ExtendedDescription">
    <vt:lpwstr>_ExtendedDescription</vt:lpwstr>
  </property>
  <property fmtid="{D5CDD505-2E9C-101B-9397-08002B2CF9AE}" pid="26" name="TriggerFlowInfo">
    <vt:lpwstr>TriggerFlowInfo</vt:lpwstr>
  </property>
</Properties>
</file>